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638" w:rsidRDefault="00B844A6">
      <w:pPr>
        <w:spacing w:after="0" w:line="240" w:lineRule="auto"/>
        <w:ind w:left="2124" w:hanging="2124"/>
        <w:jc w:val="center"/>
        <w:rPr>
          <w:rFonts w:ascii="Times New Roman" w:hAnsi="Times New Roman" w:cs="Times New Roman"/>
          <w:sz w:val="24"/>
          <w:szCs w:val="24"/>
        </w:rPr>
      </w:pPr>
      <w:r>
        <w:rPr>
          <w:rFonts w:ascii="Times New Roman" w:eastAsia="Times New Roman" w:hAnsi="Times New Roman" w:cs="Times New Roman"/>
          <w:b/>
          <w:bCs/>
          <w:sz w:val="24"/>
          <w:szCs w:val="24"/>
        </w:rPr>
        <w:t>PROJETO DE LEI N</w:t>
      </w:r>
      <w:r w:rsidR="006F3E18">
        <w:rPr>
          <w:rFonts w:ascii="Times New Roman" w:hAnsi="Times New Roman" w:cs="Times New Roman"/>
          <w:b/>
          <w:bCs/>
          <w:sz w:val="24"/>
          <w:szCs w:val="24"/>
        </w:rPr>
        <w:t xml:space="preserve">º </w:t>
      </w:r>
      <w:r w:rsidR="00CC7DAC">
        <w:rPr>
          <w:rFonts w:ascii="Times New Roman" w:hAnsi="Times New Roman" w:cs="Times New Roman"/>
          <w:b/>
          <w:bCs/>
          <w:sz w:val="24"/>
          <w:szCs w:val="24"/>
        </w:rPr>
        <w:t>080</w:t>
      </w:r>
      <w:r w:rsidR="006F3E18">
        <w:rPr>
          <w:rFonts w:ascii="Times New Roman" w:hAnsi="Times New Roman" w:cs="Times New Roman"/>
          <w:b/>
          <w:bCs/>
          <w:sz w:val="24"/>
          <w:szCs w:val="24"/>
        </w:rPr>
        <w:t xml:space="preserve">/25, DE </w:t>
      </w:r>
      <w:r w:rsidR="00CC7DAC">
        <w:rPr>
          <w:rFonts w:ascii="Times New Roman" w:hAnsi="Times New Roman" w:cs="Times New Roman"/>
          <w:b/>
          <w:bCs/>
          <w:sz w:val="24"/>
          <w:szCs w:val="24"/>
        </w:rPr>
        <w:t>07</w:t>
      </w:r>
      <w:r>
        <w:rPr>
          <w:rFonts w:ascii="Times New Roman" w:hAnsi="Times New Roman" w:cs="Times New Roman"/>
          <w:b/>
          <w:bCs/>
          <w:sz w:val="24"/>
          <w:szCs w:val="24"/>
        </w:rPr>
        <w:t xml:space="preserve"> DE </w:t>
      </w:r>
      <w:r w:rsidR="006F3E18">
        <w:rPr>
          <w:rFonts w:ascii="Times New Roman" w:hAnsi="Times New Roman" w:cs="Times New Roman"/>
          <w:b/>
          <w:bCs/>
          <w:sz w:val="24"/>
          <w:szCs w:val="24"/>
        </w:rPr>
        <w:t>OUTUBR</w:t>
      </w:r>
      <w:r>
        <w:rPr>
          <w:rFonts w:ascii="Times New Roman" w:hAnsi="Times New Roman" w:cs="Times New Roman"/>
          <w:b/>
          <w:bCs/>
          <w:sz w:val="24"/>
          <w:szCs w:val="24"/>
        </w:rPr>
        <w:t>O DE 2025.</w:t>
      </w:r>
    </w:p>
    <w:p w:rsidR="00A34638" w:rsidRDefault="00A34638">
      <w:pPr>
        <w:spacing w:after="0" w:line="240" w:lineRule="auto"/>
        <w:ind w:left="4248"/>
        <w:jc w:val="both"/>
        <w:rPr>
          <w:rFonts w:ascii="Times New Roman" w:hAnsi="Times New Roman" w:cs="Times New Roman"/>
          <w:bCs/>
          <w:i/>
          <w:sz w:val="24"/>
          <w:szCs w:val="24"/>
        </w:rPr>
      </w:pPr>
    </w:p>
    <w:p w:rsidR="00A34638" w:rsidRDefault="00B844A6" w:rsidP="00CC7DAC">
      <w:pPr>
        <w:spacing w:after="0" w:line="240" w:lineRule="auto"/>
        <w:ind w:left="4536"/>
        <w:jc w:val="both"/>
        <w:rPr>
          <w:rFonts w:ascii="Times New Roman" w:hAnsi="Times New Roman" w:cs="Times New Roman"/>
          <w:i/>
          <w:sz w:val="24"/>
          <w:szCs w:val="24"/>
        </w:rPr>
      </w:pPr>
      <w:r>
        <w:rPr>
          <w:rFonts w:ascii="Times New Roman" w:hAnsi="Times New Roman" w:cs="Times New Roman"/>
          <w:bCs/>
          <w:i/>
          <w:sz w:val="24"/>
          <w:szCs w:val="24"/>
        </w:rPr>
        <w:t>Dispõe sobre as diretrizes orçamentárias para o exercício financeiro de 2026.</w:t>
      </w:r>
    </w:p>
    <w:p w:rsidR="00A34638" w:rsidRDefault="00A34638">
      <w:pPr>
        <w:spacing w:after="0" w:line="240" w:lineRule="auto"/>
        <w:ind w:firstLine="1418"/>
        <w:jc w:val="both"/>
        <w:rPr>
          <w:rFonts w:ascii="Times New Roman" w:hAnsi="Times New Roman" w:cs="Times New Roman"/>
          <w:sz w:val="24"/>
          <w:szCs w:val="24"/>
        </w:rPr>
      </w:pP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Capítulo I</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Disposições Preliminares</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Art. 1º Ficam estabelecidas, em cumprimento ao disposto no art. 165, § 2º, da Constituição Federal, no art.</w:t>
      </w:r>
      <w:r>
        <w:rPr>
          <w:rFonts w:ascii="Times New Roman" w:hAnsi="Times New Roman" w:cs="Times New Roman"/>
          <w:sz w:val="24"/>
          <w:szCs w:val="24"/>
        </w:rPr>
        <w:tab/>
      </w:r>
      <w:proofErr w:type="gramStart"/>
      <w:r>
        <w:rPr>
          <w:rFonts w:ascii="Times New Roman" w:hAnsi="Times New Roman" w:cs="Times New Roman"/>
          <w:sz w:val="24"/>
          <w:szCs w:val="24"/>
        </w:rPr>
        <w:t>da</w:t>
      </w:r>
      <w:proofErr w:type="gramEnd"/>
      <w:r>
        <w:rPr>
          <w:rFonts w:ascii="Times New Roman" w:hAnsi="Times New Roman" w:cs="Times New Roman"/>
          <w:sz w:val="24"/>
          <w:szCs w:val="24"/>
        </w:rPr>
        <w:t xml:space="preserve"> Lei   Orgânica do Município, e na Lei Complementar nº 101, de 04 de maio de 2000, as diretrizes gerais para elaboração do orçamento do Município, relativas ao exercício de 2026, compreendendo: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as metas e as prioridades da administração municipal;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a organização e estrutura do orçamento;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III - as diretrizes para elaboração e execução do orçamento e suas alterações; </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as disposições relativas à dívida pública municipal;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 - as disposições relativas às despesas do Município com pessoal e encargos sociais;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VI - as disposições sobre alterações na legislação tributária;  </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VII - as disposições gerais.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Parágrafo único. Integram esta lei os seguintes anexos: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Anexo I, de metas fiscais, composto dos demonstrativos: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 das metas fiscais anuais de acordo com o art. 4º, § 1o, da Lei Complementar </w:t>
      </w:r>
      <w:proofErr w:type="gramStart"/>
      <w:r>
        <w:rPr>
          <w:rFonts w:ascii="Times New Roman" w:hAnsi="Times New Roman" w:cs="Times New Roman"/>
          <w:sz w:val="24"/>
          <w:szCs w:val="24"/>
        </w:rPr>
        <w:t>nº</w:t>
      </w:r>
      <w:proofErr w:type="gramEnd"/>
      <w:r>
        <w:rPr>
          <w:rFonts w:ascii="Times New Roman" w:hAnsi="Times New Roman" w:cs="Times New Roman"/>
          <w:sz w:val="24"/>
          <w:szCs w:val="24"/>
        </w:rPr>
        <w:t xml:space="preserve"> 101/2000, acompanhado da memória e metodologia de cálculo;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 da avaliação do cumprimento das metas fiscais relativas ao ano de 2023;</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 das metas fiscais previstas para 2026, 2027 e 2028, comparadas com as fixadas nos exercícios de 2023, 2024 e 2025;</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d) da evolução do patrimônio líquido, conforme o art. 4º, § 2º, inciso III, da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e) da origem e aplicação dos recursos obtidos com a alienação de ativos, em cumprimento ao disposto no art. 4º, § 2º, inciso III, da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f) da avaliação da situação financeira e atuarial do Regime Próprio de Previdência dos Servidores Públicos Municipais, de acordo com o art. 4º, § 2º, inciso IV, da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 da estimativa e compensação da renúncia de receita, conforme art. 4º, § 2º, inciso V, da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h) da margem de expansão das Despesas Obrigatórias de Caráter Continuado (DOCC), conforme art. 4º, § 2º, inciso V, da Lei Complementar nº 101/2000, cujo resultado é meramente indicativo de alerta para a criação de novas DOCC, ou da existência de espaço fiscal para a criação de novas despesas.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Anexo II, de Riscos Fiscais e providências, contendo a avaliação dos riscos orçamentários e os passivos contingentes capazes de afetar as contas públicas, em cumprimento ao art. 4º, § 3º, da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III - Anexo III, de caráter informativo e não normativo, contemplando o detalhamento dos Programas e Ações previstos no Plano Plurianual, com execução prevista </w:t>
      </w:r>
      <w:r>
        <w:rPr>
          <w:rFonts w:ascii="Times New Roman" w:hAnsi="Times New Roman" w:cs="Times New Roman"/>
          <w:sz w:val="24"/>
          <w:szCs w:val="24"/>
        </w:rPr>
        <w:lastRenderedPageBreak/>
        <w:t>para próximo exercício, o qual deverá servir de referência para o planejamento, podendo ser atualizado pela lei orçamentária ou através de créditos adicionais.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Anexo IV, informando as despesas para conservação do patrimônio público e para os projetos em andamento, em cumprimento ao disposto no art. 45 da Lei Complementar nº 101, de 2000.</w:t>
      </w:r>
    </w:p>
    <w:p w:rsidR="00A34638" w:rsidRDefault="00A34638">
      <w:pPr>
        <w:spacing w:after="0" w:line="240" w:lineRule="auto"/>
        <w:ind w:firstLine="1418"/>
        <w:jc w:val="both"/>
        <w:rPr>
          <w:rFonts w:ascii="Times New Roman" w:hAnsi="Times New Roman" w:cs="Times New Roman"/>
          <w:sz w:val="24"/>
          <w:szCs w:val="24"/>
        </w:rPr>
      </w:pP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Capítulo II</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Das Metas e Prioridades da Administração Pública Municipal</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Art. 2º A elaboração e aprovação do Projeto de Lei Orçamentária e a execução da respectiva Lei deverão ser compatíveis com a obtenção da meta e prioridade para o exercício financeiro de 2026 estão estruturadas de acordo com o Plano Plurianual para 2026 </w:t>
      </w:r>
      <w:proofErr w:type="spellStart"/>
      <w:r>
        <w:rPr>
          <w:rFonts w:ascii="Times New Roman" w:hAnsi="Times New Roman" w:cs="Times New Roman"/>
          <w:sz w:val="24"/>
          <w:szCs w:val="24"/>
        </w:rPr>
        <w:t>á</w:t>
      </w:r>
      <w:proofErr w:type="spellEnd"/>
      <w:r>
        <w:rPr>
          <w:rFonts w:ascii="Times New Roman" w:hAnsi="Times New Roman" w:cs="Times New Roman"/>
          <w:sz w:val="24"/>
          <w:szCs w:val="24"/>
        </w:rPr>
        <w:t xml:space="preserve"> 2029 – Lei nº 2.938/2025 de 25 de agosto de 2025, especificadas no Anexo de Metas e Prioridades integrantes desta Lei, as quais terão assegurada a alocação de recursos na Lei Orçamentária 2025.</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Para fins da demonstração da compatibilidade referida no caput, a meta de resultado primário poderá ser ajustada quando do encaminhamento do projeto de lei orçamentária anual, se verificadas alterações no comportamento das variáveis macroeconômicas utilizadas nas estimativas das receitas e despesas;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3º Sem prejuízo do disposto no art. 65, II, da Lei Complementar nº 101/2000, em caso de não atingimento da meta de resultado primário estabelecida para 2026, admite-se, como limite de tolerância, o valor equivalente à frustração da arrecadação das receitas que são objeto das transferências previstas nos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158, 159 e 212-A da Constituição Federal.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4º Para os fins do disposto no § 3º, considera-se frustração de arrecadação, a diferença a menor que for observada ao final de cada quadrimestre entre os valores da arrecadação acumulada do exercício, em comparação com igual período do ano anterior.</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5º para efeitos da audiência pública prevista no art. 9º, § 4º, da Lei Complementar nº 101/2000, a meta alcançada em cada quadrimestre será comparada com a meta prevista para o mesmo período ajustada, quando for o caso, ao limite de tolerância previsto no § 3º deste artigo.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Art. 3º As metas e prioridades para o exercício financeiro de 2025 relacionadas com a execução de programas e ações orçamentárias estão estruturadas de acordo com o Plano Plurianual para 2026 </w:t>
      </w:r>
      <w:proofErr w:type="spellStart"/>
      <w:r>
        <w:rPr>
          <w:rFonts w:ascii="Times New Roman" w:hAnsi="Times New Roman" w:cs="Times New Roman"/>
          <w:sz w:val="24"/>
          <w:szCs w:val="24"/>
        </w:rPr>
        <w:t>á</w:t>
      </w:r>
      <w:proofErr w:type="spellEnd"/>
      <w:r>
        <w:rPr>
          <w:rFonts w:ascii="Times New Roman" w:hAnsi="Times New Roman" w:cs="Times New Roman"/>
          <w:sz w:val="24"/>
          <w:szCs w:val="24"/>
        </w:rPr>
        <w:t xml:space="preserve"> 2029 – Lei nº 2.938/2025 de 25 de agosto de 2025 e suas alterações, estão especificadas no Anexo III desta Lei.</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Na hipótese prevista no parágrafo anterior, as alterações do Anexo III serão evidenciadas em demonstrativo específico, a ser encaminhado juntamente com a proposta orçamentária para o próximo exercício.</w:t>
      </w:r>
    </w:p>
    <w:p w:rsidR="00A34638" w:rsidRDefault="00A34638">
      <w:pPr>
        <w:spacing w:after="0" w:line="240" w:lineRule="auto"/>
        <w:jc w:val="center"/>
        <w:rPr>
          <w:rFonts w:ascii="Times New Roman" w:hAnsi="Times New Roman" w:cs="Times New Roman"/>
          <w:b/>
          <w:bCs/>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Capítulo III</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Da Organização e Estrutura do Orçamento</w:t>
      </w:r>
    </w:p>
    <w:p w:rsidR="00A34638" w:rsidRDefault="00A34638">
      <w:pPr>
        <w:spacing w:after="0" w:line="240" w:lineRule="auto"/>
        <w:jc w:val="both"/>
        <w:rPr>
          <w:rFonts w:ascii="Times New Roman" w:hAnsi="Times New Roman" w:cs="Times New Roman"/>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Art. 4º Na lei de orçamento, a despesa será discriminada por órgão, unidade orçamentária, função, </w:t>
      </w:r>
      <w:proofErr w:type="spellStart"/>
      <w:r>
        <w:rPr>
          <w:rFonts w:ascii="Times New Roman" w:hAnsi="Times New Roman" w:cs="Times New Roman"/>
          <w:sz w:val="24"/>
          <w:szCs w:val="24"/>
        </w:rPr>
        <w:t>subfunção</w:t>
      </w:r>
      <w:proofErr w:type="spellEnd"/>
      <w:r>
        <w:rPr>
          <w:rFonts w:ascii="Times New Roman" w:hAnsi="Times New Roman" w:cs="Times New Roman"/>
          <w:sz w:val="24"/>
          <w:szCs w:val="24"/>
        </w:rPr>
        <w:t>, programa, ação orçamentária e natureza de despesa, detalhada até o nível de elemento.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O conceito de órgão corresponde ao maior nível da classificação institucional, que tem por finalidade agrupar unidades orçamentárias.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O conceito de unidade orçamentária corresponde ao menor nível da classificação institucional e sua classificação atenderá, no que couber, ao disposto no art. 14 da Lei Federal nº 4.320/64.</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3º Os conceitos de função, </w:t>
      </w:r>
      <w:proofErr w:type="spellStart"/>
      <w:r>
        <w:rPr>
          <w:rFonts w:ascii="Times New Roman" w:hAnsi="Times New Roman" w:cs="Times New Roman"/>
          <w:sz w:val="24"/>
          <w:szCs w:val="24"/>
        </w:rPr>
        <w:t>subfunção</w:t>
      </w:r>
      <w:proofErr w:type="spellEnd"/>
      <w:r>
        <w:rPr>
          <w:rFonts w:ascii="Times New Roman" w:hAnsi="Times New Roman" w:cs="Times New Roman"/>
          <w:sz w:val="24"/>
          <w:szCs w:val="24"/>
        </w:rPr>
        <w:t>, programa, projeto, atividade e operação especial são aqueles dispostos na Portaria SOF/SETO/ME n.º 42/1999, e em suas alterações.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4º Os conceitos e códigos de categoria econômica, grupo de natureza de despesa, modalidade de aplicação e elemento de despesa são aqueles dispostos na Lei Federal nº 4.320/1964 e na Portaria Interministerial STN/SOF n.º 163, de 4 de maio de 2001, e em suas alterações.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5º As operações especiais relacionadas ao pagamento de encargos gerais do Município, serão consignadas em unidade orçamentária específica.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5º Independentemente da natureza de despesa em que for classificado, todo e qualquer crédito orçamentário deve ser consignado diretamente à unidade orçamentária à qual pertencem as ações correspondentes.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Parágrafo único. As operações entre órgãos, fundos e entidades previstas nos Orçamentos Fiscal e da Seguridade Social, que demandem emissão de empenho, serão executadas nos termos da Lei Federal nº 4.320/1964, utilizando-se a modalidade de aplicação 91 - Aplicação Direta Decorrente de Operação entre Órgãos, Fundos e Entidades Integrantes do Orçamento Fiscal e do Orçamento da Seguridade Social.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6º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6º, da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Art. 7º O Projeto de Lei Orçamentária Anual será encaminhado ao Poder Legislativo, conforme estabelecido no § 5º do art. 165 da Constituição Federal, no </w:t>
      </w:r>
      <w:proofErr w:type="spellStart"/>
      <w:proofErr w:type="gramStart"/>
      <w:r>
        <w:rPr>
          <w:rFonts w:ascii="Times New Roman" w:hAnsi="Times New Roman" w:cs="Times New Roman"/>
          <w:sz w:val="24"/>
          <w:szCs w:val="24"/>
        </w:rPr>
        <w:t>art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107 da Lei Orgânica do Município e no art. 2º, da Lei Federal nº 4.320/1964.</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Parágrafo único. Integrarão a Proposta Orçamentária e a respectiva Lei Orçamentária, além dos quadros exigidos pela legislação federal: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discriminação da legislação básica da receita e da despesa dos orçamentos fiscal e da seguridade social;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demonstrativo da evolução da receita, por origem, em atendimento ao disposto no art. 12 da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III - demonstrativo da estimativa e compensação da renúncia de receita e da margem de expansão das despesas obrigatórias de caráter continuado, de acordo com o art. 5º, inciso II, da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quadro que evidencie, em colunas distintas, as receitas por origem e as despesas por grupo de natureza de despesa, dos orçamentos fiscal e da seguridade social, conforme art. 165, § 5º, III, da Constituição Federal;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 - demonstrativo da receita por origem (2º nível de detalhamento) e planos de aplicação das despesas dos Fundos Especiais de que trata o art. 2º, § 2º, I, da Lei Federal nº 4.320/1964;</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 - demonstrativo de compatibilidade da programação do orçamento com a meta de resultado primário, observando-se, quando cabível, o disposto nos §§ 1º e 2º do art. 2º desta Lei;</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VII - demonstrativo da fixação da despesa com pessoal e encargos sociais, para os Poderes Executivo e Legislativo, confrontando a sua totalização com a receita corrente líquida prevista, conforme metodologia de cálculo prevista na Instrução Normativa nº 18/2023, do Tribunal de Contas do Estado ou da norma que lhe for superveniente;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w:t>
      </w:r>
      <w:proofErr w:type="spellStart"/>
      <w:r>
        <w:rPr>
          <w:rFonts w:ascii="Times New Roman" w:hAnsi="Times New Roman" w:cs="Times New Roman"/>
          <w:sz w:val="24"/>
          <w:szCs w:val="24"/>
        </w:rPr>
        <w:t>Fundeb</w:t>
      </w:r>
      <w:proofErr w:type="spellEnd"/>
      <w:r>
        <w:rPr>
          <w:rFonts w:ascii="Times New Roman" w:hAnsi="Times New Roman" w:cs="Times New Roman"/>
          <w:sz w:val="24"/>
          <w:szCs w:val="24"/>
        </w:rPr>
        <w:t>) de que trata a Lei Federal nº 14.113/2020;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IX - demonstrativo da previsão da aplicação anual do Município em Ações e Serviços Públicos de Saúde, nos termos da Lei Complementar nº 141/2012;</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X - demonstrativo dos instrumentos de programação a serem financiados com recursos de operações de crédito realizadas e a realizar;</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XI - demonstrativo do cálculo do limite máximo da despesa do Poder Legislativo, conforme o artigo 29-A da Constituição Federal, observado o disposto no § 2º do art. 13 desta Lei.</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8º A mensagem que encaminhar o projeto de lei orçamentária anual conterá:</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relato sucinto da situação econômica e financeira do Município e projeções para o próximo exercício, com destaque, se for o caso, para o comprometimento da receita corrente líquida com o pagamento da dívida;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resumo da política econômica e social do Governo;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III - memória de cálculo e justificativa da estimativa da receita e da fixação da despesa, observando-se, no que couber, ao disposto nos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22, I, 39 e 30 da Lei Federal nº 4.320/1964 e no art. 12 da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demonstrativo da dívida fundada, assim como da evolução do seu estoque nos últimos três anos, a situação provável no final de 2025 e a previsão para o exercício de 2026;</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 - relação dos precatórios a serem cumpridos com as dotações para tal fim constantes na proposta orçamentária;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9º Deverão ser discriminadas em ações orçamentárias específicas as dotações destinadas: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 - às ações de alimentação escolar; </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II - às ações de transporte escolar;</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à concessão de subvenções econômicas e subsídios a pessoas físicas e jurídicas com finalidade lucrativa;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à concessão de subvenções sociais, contribuições correntes, contribuições de capital e auxílios a entidades privadas sem fins lucrativos;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 - à transferência de recursos para Consórcios Públicos em decorrência de contrato de rateio;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 - ao pagamento de sentenças judiciais;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VII - às despesas com publicidade institucional;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VIII - às despesas com amortização, juros e encargos da dívida pública;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IX - ao pagamento de benefícios do Regime Próprio de Previdência Social;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X - ao custeio, pelo Município, de despesas de competência de outros entes da Federação, observado o disposto no art. 57 desta Lei.</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Art.10. A Reserva de Contingência para fins de atendimento dos riscos fiscais especificados no Anexo II desta Lei será constituída com recursos não vinculados, e será fixada em, no mínimo, 1 % (um por cento) da receita corrente líquida.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Para fins de utilização da reserva de contingência referida no caput, considera- se evento fiscal imprevisto a necessidade de atendimento de despesas não previstas ou insuficientemente dotadas na lei orçamentária, mediante abertura de créditos adicionais.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A34638" w:rsidRDefault="00A34638">
      <w:pPr>
        <w:spacing w:after="0" w:line="240" w:lineRule="auto"/>
        <w:ind w:firstLine="1418"/>
        <w:jc w:val="both"/>
        <w:rPr>
          <w:rFonts w:ascii="Times New Roman" w:hAnsi="Times New Roman" w:cs="Times New Roman"/>
          <w:sz w:val="24"/>
          <w:szCs w:val="24"/>
        </w:rPr>
      </w:pP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Capítulo IV</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Das Diretrizes para Elaboração e Execução do Orçamento e suas Alterações</w:t>
      </w:r>
    </w:p>
    <w:p w:rsidR="00A34638" w:rsidRDefault="00A34638">
      <w:pPr>
        <w:spacing w:after="0" w:line="240" w:lineRule="auto"/>
        <w:jc w:val="center"/>
        <w:rPr>
          <w:rFonts w:ascii="Times New Roman" w:hAnsi="Times New Roman" w:cs="Times New Roman"/>
          <w:b/>
          <w:bCs/>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Seção I</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Das Diretrizes Gerais</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11. Os órgãos da Administração Indireta e o Poder Legislativo encaminharão à Secretaria de Administração até 31 de outubro de 2026, suas respectivas propostas orçamentárias, para fins de consolidação do Projeto de Lei Orçamentária, observadas as disposições desta Lei.</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Parágrafo único. O prazo estabelecido no caput também se aplica ao respectivo conselho, em relação às deliberações que, por força de norma legal, devem efetuar em relação às propostas de aplicação dos recursos vinculados: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ao Fundo Municipal de Saúde - FMS;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ao Fundo Municipal de Assistência Social - FMAS;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ao fundo Municipal dos Direitos da Criança e do Adolescente - FMDCA;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ao Fundo Municipal do Idoso - FM Idoso;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 - ao Fundo de Manutenção e Desenvolvimento da Educação Básica e de Valorização dos Profissionais da Educação (</w:t>
      </w:r>
      <w:proofErr w:type="spellStart"/>
      <w:r>
        <w:rPr>
          <w:rFonts w:ascii="Times New Roman" w:hAnsi="Times New Roman" w:cs="Times New Roman"/>
          <w:sz w:val="24"/>
          <w:szCs w:val="24"/>
        </w:rPr>
        <w:t>Fundeb</w:t>
      </w:r>
      <w:proofErr w:type="spellEnd"/>
      <w:r>
        <w:rPr>
          <w:rFonts w:ascii="Times New Roman" w:hAnsi="Times New Roman" w:cs="Times New Roman"/>
          <w:sz w:val="24"/>
          <w:szCs w:val="24"/>
        </w:rPr>
        <w:t>); 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 - ao Regime Próprio de Previdência Social (RPPS);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Art. 12. A elaboração, a aprovação e execução do orçamento obedecerão, entre outros, ao princípio da publicidade, promovendo-se a transparência da gestão fiscal e </w:t>
      </w:r>
      <w:r>
        <w:rPr>
          <w:rFonts w:ascii="Times New Roman" w:hAnsi="Times New Roman" w:cs="Times New Roman"/>
          <w:sz w:val="24"/>
          <w:szCs w:val="24"/>
        </w:rPr>
        <w:lastRenderedPageBreak/>
        <w:t>permitindo-se o amplo acesso da sociedade a todas as informações relativas a cada uma dessas etapas.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A Câmara Municipal organizará audiência(s) pública(s) para discussão da proposta orçamentária durante o processo de sua apreciação e aprovação.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3º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2026.</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Para fins da fixação da despesa orçamentária da Câmara Municipal, observado os limites estabelecidos no art. 29-A da Constituição Federal e a metodologia de cálculo estabelecida pela Instrução Normativa nº 18/2023 do Tribunal de Contas do Estado ou da norma que lhe for superveniente, considerar-se-á a receita arrecadada até mês de</w:t>
      </w:r>
      <w:r>
        <w:rPr>
          <w:rFonts w:ascii="Times New Roman" w:hAnsi="Times New Roman" w:cs="Times New Roman"/>
          <w:sz w:val="24"/>
          <w:szCs w:val="24"/>
        </w:rPr>
        <w:tab/>
        <w:t>, acrescida da tendência de arrecadação até o final do exercício.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14. Observado o disposto no art. 45 da Lei Complementar nº 101/2000, somente serão destinadas dotações para novos projetos para investimentos se: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tiverem sido adequada e suficientemente contempladas as despesas para conservação do patrimônio público e para os projetos em andamento, constantes do Anexo IV desta Lei;</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a ação estiver compatível com o Plano Plurianual.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Parágrafo único. O disposto neste artigo não se aplica ao início ou continuidade de investimentos programados com recursos oriundos de transferências voluntárias, de transferências especiais da União, de operações de crédito ou de alienação de bens, cuja execução fica limitada à respectiva disponibilidade orçamentária e financeira.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15.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 1º Para efeito do disposto no art. 16, § 3º, da Lei Complementar nº 101/2000, entendem-se como despesas irrelevantes aquelas cujo valor no exercício financeiro de 2025, em cada evento de contratação, não ultrapasse o limite estabelecido para dispensa de licitação de que trata o art. 75, inciso II, da Lei Federal nº 14.133/2021.</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 2º No caso de despesas com pessoal e respectivos encargos, desde que não configurem geração de despesa obrigatória de caráter continuado, serão consideradas </w:t>
      </w:r>
      <w:r>
        <w:rPr>
          <w:rFonts w:ascii="Times New Roman" w:hAnsi="Times New Roman" w:cs="Times New Roman"/>
          <w:sz w:val="24"/>
          <w:szCs w:val="24"/>
        </w:rPr>
        <w:lastRenderedPageBreak/>
        <w:t>irrelevantes aquelas cujo montante, em cada evento de admissão, não exceda a 2 (duas) vezes o menor padrão de vencimentos.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Art. 16. No caso de aumento de despesas decorrentes da criação, expansão ou aperfeiçoamento de ação governamental, que não se enquadrem como de caráter irrelevante nos termos do art. 15 desta Lei, deverão ser observados os </w:t>
      </w:r>
      <w:proofErr w:type="gramStart"/>
      <w:r>
        <w:rPr>
          <w:rFonts w:ascii="Times New Roman" w:hAnsi="Times New Roman" w:cs="Times New Roman"/>
          <w:sz w:val="24"/>
          <w:szCs w:val="24"/>
        </w:rPr>
        <w:t>seguintes  requisitos</w:t>
      </w:r>
      <w:proofErr w:type="gramEnd"/>
      <w:r>
        <w:rPr>
          <w:rFonts w:ascii="Times New Roman" w:hAnsi="Times New Roman" w:cs="Times New Roman"/>
          <w:sz w:val="24"/>
          <w:szCs w:val="24"/>
        </w:rPr>
        <w:t>:</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se for obrigatória de caráter continuado, atender ao disposto no art. 16 da Lei Complementar nº 101/2000 e estar acompanhada de medidas de compensação, no exercício em que entre em vigor e nos dois exercícios subsequentes, por meio de: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 aumento de receita, proveniente de elevação de alíquotas, ampliação da base de cálculo, majoração ou criação de tributo ou contribuição; ou</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 redução permanente de despesas.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se não for obrigatória de caráter continuado, cumprir os requisitos previstos no art. 16 da Lei Complementar nº 101/2000, dispensada a apresentação de medida compensatória.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ficam dispensadas das medidas de compensação as hipóteses de aumento permanente de despesas previstas no § 1º do art. 24 da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No caso de criação ou aumento de despesas decorrentes de ações destinadas ao combate de situação de calamidade pública, aplicam-se, no que couber, as disposições do art. 65, § 1º, III, da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17. O controle de custos e avaliação dos resultados dos programas financiados com recursos dos orçamentos das ações desenvolvidas pelo Poder Público Municipal de deverão ser orientados para o estabelecimento da relação entre a despesa pública e o resultado obtido, de forma a priorizar a análise da eficiência na alocação dos recursos, permitindo o acompanhamento das gestões orçamentária, financeira e patrimonial.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Os custos serão apurados e avaliados através das operações orçamentárias, tomando-se por base, a comparação entre as despesas autorizadas e liquidadas, bem como a comparação entre as metas físicas previstas e as realizadas.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Caberá À Secretaria de</w:t>
      </w:r>
      <w:r>
        <w:rPr>
          <w:rFonts w:ascii="Times New Roman" w:hAnsi="Times New Roman" w:cs="Times New Roman"/>
          <w:sz w:val="24"/>
          <w:szCs w:val="24"/>
        </w:rPr>
        <w:tab/>
        <w:t>organizar a formação de Grupos Setoriais de Custos, oportunizando o acesso a treinamentos, reuniões técnicas e outros eventos a serem realizados com vistas ao aperfeiçoamento da gestão de custos na Administração Pública Municipal.</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Seção II</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Das Diretrizes Específicas do Orçamento da Seguridade Social</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18. O Orçamento da Seguridade Social compreenderá as dotações destinadas a atender às ações de saúde, previdência e assistência social, e contará, entre outros, com recursos provenientes: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do produto da arrecadação de impostos e transferências constitucionais vinculados às ações e serviços públicos de saúde, nos termos da Lei Complementar nº 141, de 13 de janeiro de 2012;</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das receitas vinculadas ao Regime Próprio de Previdência Social dos Servidores Municipais;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das demais receitas cujas despesas integram, exclusivamente, o orçamento referido no caput deste artigo;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de aportes de recursos do Orçamento Fiscal.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Parágrafo único. O orçamento da seguridade social será evidenciado na forma do demonstrativo previsto no inciso IV do parágrafo único do art. 7º desta Lei.</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Seção III</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Da programação financeira e limitação de empenhos</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O ato referido no caput deste artigo e os que o modificarem conterá:</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metas quadrimestrais para o resultado primário, que servirão de parâmetro para a avaliação de que trata o art. 9º, § 4º da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cronograma de desembolso mensal de despesas, por órgão e unidade orçamentária.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Excetuadas as despesas com pessoal e encargos sociais, precatórios e sentenças judiciais, o cronograma de desembolso do Poder Legislativo terá, como referencial, o repasse previsto no art. 168 da Constituição Federal, na forma de duodécimos.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Art. 20.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I - contrapartida para projetos ou atividades vinculados a recursos oriundos de fontes extraordinárias, como transferências voluntárias, operações de crédito, alienação de ativos, desde que ainda não comprometidos;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obras em geral, cuja fase ou etapa ainda não esteja iniciada;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aquisição de combustíveis e derivados, destinada à frota de veículos, exceto dos setores de Saúde e Educação;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dotação para materiais de consumo e serviços de terceiros das diversas atividades;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 - diárias de viagem;</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 - festividades, homenagens, recepções e demais eventos da mesma natureza;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VII - despesas com publicidade institucional;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VIII - horas extras.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 1º Na avaliação do cumprimento das metas bimestrais de arrecadação para implementação ou não do mecanismo da limitação de empenho e movimentação financeira, será considerado ainda o resultado financeiro apurado no Balanço Patrimonial do exercício de 2024, observada a vinculação de recursos.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Não serão objeto de limitação de empenho: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I - despesas relacionadas com vinculações constitucionais e legais, nos termos do § 2º do art. 9º da Lei Complementar nº 101/2000 e do art. 28 da Lei Complementar Federal n.º 141, de 13 de janeiro de 2012;</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as despesas com o pagamento de precatórios e sentenças judiciais de pequeno valor;</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as despesas fixas e obrigatórias com pessoal e encargos sociais; 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as despesas financiadas com recursos de Transferências Voluntárias da União e do Estado, Operações de Crédito e Alienação de bens, observado o disposto no art. 22 desta Lei.</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4º Os Chefes do Poder Executivo e do Poder Legislativo, com base na informação a que se refere o § 3º, editarão ato, até o trigésimo dia subsequente ao encerramento do respectivo bimestre, que evidencie a limitação de empenho e movimentação financeira.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5º Ocorrendo o restabelecimento da receita prevista, a recomposição se fará obedecendo ao disposto no art. 9º, § 1º, da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Os rendimentos das aplicações financeiras e outros ingressos orçamentários que venham a ser arrecadados através do Poder Legislativo, serão contabilizados como receita pelo Poder Executivo, tendo como contrapartida o repasse referido no caput este artigo.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 3º O eventual saldo que não for devolvido no prazo estabelecido no parágrafo anterior, será devidamente registrado na contabilidade e considerado como antecipação de repasse do exercício financeiro de 2026.</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22. As dotações dos projetos, atividades e operações especiais previstos na Lei Orçamentária, ou em seus créditos adicionais, que dependam de recursos oriundos de transferências voluntárias, de transferências especiais da União, operações de crédito, alienação de bens e outros recursos vinculados, só serão movimentadas se ocorrer ou estiver garantido o seu ingresso no fluxo de caixa, respeitado ainda o montante ingressado ou garantido.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w:t>
      </w:r>
      <w:r>
        <w:rPr>
          <w:rFonts w:ascii="Times New Roman" w:hAnsi="Times New Roman" w:cs="Times New Roman"/>
          <w:sz w:val="24"/>
          <w:szCs w:val="24"/>
        </w:rPr>
        <w:lastRenderedPageBreak/>
        <w:t>as liberações financeiras de recursos, que devem obedecer ao cronograma de desembolso previsto nos respectivos instrumentos.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A execução das Receitas e das Despesas identificará com codificação adequada cada uma das fontes de recursos, de forma a permitir o adequado controle da vinculação, na forma estabelecida pelo parágrafo único do art. 8º, da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Parágrafo único. Os valores constantes no Projeto de Lei Orçamentária de 2026 poderão ser utilizados, até a sanção da respectiva Lei, para demonstrar a previsão orçamentária nos procedimentos referentes à fase interna da licitação.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24. Para efeito do disposto no § 1º do art. 1º e do art. 42 da Lei Complementar nº 101/2000, considera-se contraída a obrigação, e exigível o empenho da despesa correspondente, no momento da formalização do contrato administrativo ou instrumento congênere.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No caso de despesas relativas a obras e prestação de serviços, consideram-se compromissadas apenas as prestações cujos pagamentos devam ser realizados no exercício financeiro, observado o cronograma pactuado.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Sem prejuízo do disposto no caput, a inscrição ou a manutenção dos restos a pagar processados e não processados subordinam-se às regras definidas na Instrução Normativa nº 18/2023, do Tribunal de Contas ou norma que lhe for superveniente.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Compete ao Poder Legislativo Municipal, mediante prévio agendamento com o Poder Executivo, convocar e coordenar a realização das audiências públicas referidas no caput.</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Seção IV</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Das Alterações da Lei Orçamentária</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Art. 26. A abertura de créditos suplementares e especiais dependerá da existência de recursos disponíveis para a despesa, nos termos da Lei Federal nº 4.320/1964.</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 1º A apuração do excesso de arrecadação para fins de abertura de créditos adicionais será realizada por fonte de recursos, conforme exigência contida no art. 8º, parágrafo único, da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4º Nos casos de abertura de créditos suplementares e especiais à conta de superávit financeiro, as exposições de motivos conterão informações relativas 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I - superávit financeiro do exercício de 2025, por fonte de recursos;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II - créditos especiais e extraordinários reabertos no exercício de 2026;</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III - valores do superávit já utilizados em créditos adicionais, abertos ou em tramitação;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IV - saldo atualizado do superávit financeiro disponível, por fonte de recursos.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5º Considera-se superávit financeiro do exercício anterior, para fins do § 2º do art. 43 da Lei Federal nº 4.320/1964, os recursos que forem disponibilizados a partir do cancelamento de restos a pagar, obedecida a fonte de recursos correspondente.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6º Os créditos adicionais serão abertos conforme detalhamento constante no art. 4.º desta Lei.</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Art. 27. No âmbito do Poder Legislativo, a abertura de créditos suplementares autorizados pela Lei Orçamentária Anual, com indicação de recursos compensatórios do próprio órgão, nos termos do art. 43, § 1º, inciso III, da Lei Federal nº 4.320/1964, proceder-se-á por ato da Mesa Diretora da Câmara dos Vereadores.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28. Quanto necessária, a reabertura dos créditos especiais e extraordinários, conforme disposto no art. 167, § 2º, da Constituição Federal, será efetivada por ato do Poder Executivo.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Parágrafo único. A codificação da programação objeto da reabertura dos créditos especiais e extraordinários poderá ser adequada à constante da Lei Orçamentária, desde que não haja alteração da finalidade das ações orçamentárias.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29. O Poder Executivo poderá, mediante Decreto, transpor, remanejar, transferir ou utilizar, total ou parcialmente, as dotações orçamentárias aprovadas na Lei Orçamentária Anual e em créditos adicionais, mantida a estrutura programática, conforme as definições do art. 4º desta Lei.</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Para fins do disposto no caput, considera-se: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Transposições: deslocamento de dotações orçamentárias entre programas de trabalho alocados dentro do mesmo órgão ou unidade orçamentária;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 ou de órgãos da administração indireta.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Transferências: deslocamento de dotações de despesas correntes para despesas de capital, ou vice-versa, dentro do mesmo órgão ou unidade orçamentária e do mesmo programa de governo.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2º As transposições, transferências ou remanejamentos não poderão resultar na criação de novas categorias de programação nem alteração do total da despesa autorizada na Lei Orçamentária, podendo haver, excepcionalmente, ajuste na classificação por funções e </w:t>
      </w:r>
      <w:proofErr w:type="spellStart"/>
      <w:r>
        <w:rPr>
          <w:rFonts w:ascii="Times New Roman" w:hAnsi="Times New Roman" w:cs="Times New Roman"/>
          <w:sz w:val="24"/>
          <w:szCs w:val="24"/>
        </w:rPr>
        <w:t>subfunções</w:t>
      </w:r>
      <w:proofErr w:type="spellEnd"/>
      <w:r>
        <w:rPr>
          <w:rFonts w:ascii="Times New Roman" w:hAnsi="Times New Roman" w:cs="Times New Roman"/>
          <w:sz w:val="24"/>
          <w:szCs w:val="24"/>
        </w:rPr>
        <w:t>.</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Art. 30. Não serão considerados créditos adicionais as modificações das fontes       de recursos e das modalidades de aplicação da despesa aprovadas na lei orçamentária e em seus </w:t>
      </w:r>
      <w:r>
        <w:rPr>
          <w:rFonts w:ascii="Times New Roman" w:hAnsi="Times New Roman" w:cs="Times New Roman"/>
          <w:sz w:val="24"/>
          <w:szCs w:val="24"/>
        </w:rPr>
        <w:lastRenderedPageBreak/>
        <w:t>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Parágrafo único. O disposto no caput também se aplica no caso de ajustes na codificação orçamentária, decorrentes da necessidade de adequação à classificação vigente, desde que não impliquem em mudança de valores e de finalidade da programação.</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Seção V</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Da execução provisória do Projeto de Lei Orçamentária</w:t>
      </w:r>
    </w:p>
    <w:p w:rsidR="00A34638" w:rsidRDefault="00A34638">
      <w:pPr>
        <w:spacing w:after="0" w:line="240" w:lineRule="auto"/>
        <w:ind w:firstLine="1418"/>
        <w:jc w:val="center"/>
        <w:rPr>
          <w:rFonts w:ascii="Times New Roman" w:hAnsi="Times New Roman" w:cs="Times New Roman"/>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31. Se o projeto de lei orçamentária não for aprovado até 31 de dezembro de 2025,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1º Excetuam-se do disposto no caput deste artigo as despesas correntes nas áreas da saúde, educação e assistência social, bem como aquelas relativas ao </w:t>
      </w:r>
      <w:proofErr w:type="gramStart"/>
      <w:r>
        <w:rPr>
          <w:rFonts w:ascii="Times New Roman" w:hAnsi="Times New Roman" w:cs="Times New Roman"/>
          <w:sz w:val="24"/>
          <w:szCs w:val="24"/>
        </w:rPr>
        <w:t>serviço  da</w:t>
      </w:r>
      <w:proofErr w:type="gramEnd"/>
      <w:r>
        <w:rPr>
          <w:rFonts w:ascii="Times New Roman" w:hAnsi="Times New Roman" w:cs="Times New Roman"/>
          <w:sz w:val="24"/>
          <w:szCs w:val="24"/>
        </w:rPr>
        <w:t xml:space="preserve"> dívida, amortização, cumprimento de sentenças judiciais e despesas à conta de recursos oriundos de transferências voluntárias e de operações de crédito, que serão executadas segundo suas necessidades específicas e a efetiva disponibilidade de recursos.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Não será interrompido o processamento de despesas com obras em andamento, assim entendidas aquelas constantes no projeto de lei orçamentária cuja execução financeira, até 31 de dezembro de 2025, já tenha ultrapassado 20% (vinte por cento) do valor contratado.</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Seção VI</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Das Disposições Relativas às Emendas ao Projeto de Lei de Orçamento</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32. Toda e qualquer e emenda ao projeto de lei orçamentária ou aos projetos de lei que a modifiquem, deverão ser compatíveis com os programas e objetivos da Lei nº 2.938/2025 de 25/08/2025 - Plano Plurianual 2022/2025 e com as diretrizes, disposições, prioridades e metas desta Lei.</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Não serão admitidas, com a ressalva do inciso III do § 3º do art. 166 da Constituição Federal, as emendas que resultem na diminuição das programações das despesas com pessoal e encargos sociais e com o serviço da dívida.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Para fins do disposto no § 3º, inciso I, do art. 166 da Constituição, serão consideradas incompatíveis com as diretrizes orçamentárias estabelecidas por esta Lei:</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as emendas que acarretem a aplicação de recursos abaixo dos gastos mínimos constitucionalmente previstos para a manutenção e desenvolvimento do ensino e com as ações e serviços públicos de saúde;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as emendas que não preservem as dotações destinadas ao pagamento de sentenças judiciais;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as emendas que reduzirem o montante de dotações suportadas por recursos oriundos de transferências legais e voluntárias da União e/ou do Estado.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3º Para fins do disposto no art. 166, § 8º, da Constituição Federal, serão levados à reserva de contingência os recursos que, em decorrência de veto, emenda ou rejeição do projeto da Lei Orçamentária Anual, ficarem sem despesas correspondentes.</w:t>
      </w:r>
    </w:p>
    <w:p w:rsidR="00A34638" w:rsidRDefault="00A34638">
      <w:pPr>
        <w:spacing w:after="0" w:line="240" w:lineRule="auto"/>
        <w:ind w:firstLine="1418"/>
        <w:jc w:val="both"/>
        <w:rPr>
          <w:rFonts w:ascii="Times New Roman" w:hAnsi="Times New Roman" w:cs="Times New Roman"/>
          <w:sz w:val="24"/>
          <w:szCs w:val="24"/>
        </w:rPr>
      </w:pPr>
    </w:p>
    <w:p w:rsidR="00A34638" w:rsidRDefault="00A34638">
      <w:pPr>
        <w:spacing w:after="0" w:line="240" w:lineRule="auto"/>
        <w:jc w:val="both"/>
        <w:rPr>
          <w:rFonts w:ascii="Times New Roman" w:hAnsi="Times New Roman" w:cs="Times New Roman"/>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Seção VII</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Da Destinação de Recursos Públicos a Pessoas Físicas e   Jurídicas</w:t>
      </w:r>
    </w:p>
    <w:p w:rsidR="00A34638" w:rsidRDefault="00A34638">
      <w:pPr>
        <w:spacing w:after="0" w:line="240" w:lineRule="auto"/>
        <w:jc w:val="center"/>
        <w:rPr>
          <w:rFonts w:ascii="Times New Roman" w:hAnsi="Times New Roman" w:cs="Times New Roman"/>
          <w:b/>
          <w:bCs/>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Subseção I</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Das Subvenções Econômicas</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Art. 33.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Em atendimento ao disposto no art. 19 da Lei Federal nº 4.320/1964, a destinação de recursos às entidades privadas com fins lucrativos de que trata o caput somente poderá ocorrer por meio de subvenções econômicas, sendo vedada a transferência a título de contribuições ou auxílios para despesas de capital.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As transferências a entidades privadas com fins lucrativos de que trata o caput deste artigo, serão executadas na modalidade de aplicação 60 - Transferências a Instituições Privadas com fins lucrativos” e no elemento de despesa 45 - Subvenções Econômicas.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34.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p>
    <w:p w:rsidR="00A34638" w:rsidRDefault="00A34638">
      <w:pPr>
        <w:spacing w:after="0" w:line="240" w:lineRule="auto"/>
        <w:ind w:firstLine="1418"/>
        <w:jc w:val="both"/>
        <w:rPr>
          <w:rFonts w:ascii="Times New Roman" w:hAnsi="Times New Roman" w:cs="Times New Roman"/>
          <w:sz w:val="24"/>
          <w:szCs w:val="24"/>
        </w:rPr>
      </w:pP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Subseção II</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Das Subvenções Sociais</w:t>
      </w:r>
    </w:p>
    <w:p w:rsidR="00A34638" w:rsidRDefault="00A34638">
      <w:pPr>
        <w:spacing w:after="0" w:line="240" w:lineRule="auto"/>
        <w:jc w:val="both"/>
        <w:rPr>
          <w:rFonts w:ascii="Times New Roman" w:hAnsi="Times New Roman" w:cs="Times New Roman"/>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Art. 35. A transferência de recursos a título de subvenções sociais, nos termos dos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12, § 3º, I, 16 e 17 da Lei Federal nº 4.320/1964, atenderá às entidades privadas sem fins lucrativos que exerçam atividades de natureza continuada nas áreas de cultura, assistência social, saúde e educação.</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Subseção III</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Das Contribuições Correntes e de Capital</w:t>
      </w:r>
    </w:p>
    <w:p w:rsidR="00A34638" w:rsidRDefault="00A34638">
      <w:pPr>
        <w:spacing w:after="0" w:line="240" w:lineRule="auto"/>
        <w:ind w:firstLine="1418"/>
        <w:jc w:val="center"/>
        <w:rPr>
          <w:rFonts w:ascii="Times New Roman" w:hAnsi="Times New Roman" w:cs="Times New Roman"/>
          <w:b/>
          <w:bCs/>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Art. 36. A transferência de recursos a título de contribuição corrente somente será destinada a entidades sem fins lucrativos que preencham uma das seguintes condições: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estejam autorizadas em lei específica, que identifique expressamente a entidade beneficiária;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estejam nominalmente identificadas na Lei Orçamentária; ou</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III - sejam selecionadas para execução, em parceria com a Administração Pública Municipal, de atividades ou projetos que contribuam diretamente para o alcance de diretrizes, objetivos e metas previstas no Plano Plurianual.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37. A alocação de recursos para entidades privadas sem fins lucrativos, a título de contribuições de capital, fica condicionada à autorização em lei especial anterior de que trata o art. 12, § 6o, da Lei Federal nº 4.320/1964.</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Subseção IV</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Dos Auxílios</w:t>
      </w:r>
    </w:p>
    <w:p w:rsidR="00A34638" w:rsidRDefault="00A34638">
      <w:pPr>
        <w:spacing w:after="0" w:line="240" w:lineRule="auto"/>
        <w:ind w:firstLine="1418"/>
        <w:jc w:val="center"/>
        <w:rPr>
          <w:rFonts w:ascii="Times New Roman" w:hAnsi="Times New Roman" w:cs="Times New Roman"/>
          <w:b/>
          <w:bCs/>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38. A transferência de recursos a título de auxílios, previstos no art. 12, § 6º, da Lei Federal nº 4.320/1964, que dependa da abertura de crédito adicional especial ou extraordinário, somente poderá ser realizada para entidades privadas sem fins lucrativos que sejam:</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de atendimento direto e gratuito ao público e voltadas para a educação básica ou educação especial;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para o desenvolvimento de programas voltados a manutenção e preservação do Meio Ambiente;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voltadas a ações de saúde e de atendimento direto e gratuito ao público, prestadas por entidades sem fins lucrativos que sejam certificadas como entidades beneficentes de assistência social na área de saúde;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qualificadas como Organização da Sociedade Civil de Interesse Público - OSCIP, com termo de parceria firmada com o Poder Público Municipal, de acordo com a Lei Federal nº 9.790/1999, e que participem da execução de programas constantes no plano plurianual, devendo a destinação de recursos guardar conformidade com os objetivos sociais da entidade;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 - qualificadas para o desenvolvimento de atividades esportivas que contribuam para a formação e capacitação de atletas;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 - se destinam a atender, assegurar e a promover o exercício dos direitos e das liberdades fundamentais por pessoa com deficiência, visando à sua habilitação, reabilitação e integração social e cidadania, nos termos da Lei Federal nº 13.146/2015;</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VII - que desenvolvam atividades de coleta e processamento de material reciclável, e sejam constituídas sob a forma de associações ou cooperativas integradas por pessoas em situação de risco social, hipótese em que caberá </w:t>
      </w:r>
      <w:proofErr w:type="gramStart"/>
      <w:r>
        <w:rPr>
          <w:rFonts w:ascii="Times New Roman" w:hAnsi="Times New Roman" w:cs="Times New Roman"/>
          <w:sz w:val="24"/>
          <w:szCs w:val="24"/>
        </w:rPr>
        <w:t>ao  Poder</w:t>
      </w:r>
      <w:proofErr w:type="gramEnd"/>
      <w:r>
        <w:rPr>
          <w:rFonts w:ascii="Times New Roman" w:hAnsi="Times New Roman" w:cs="Times New Roman"/>
          <w:sz w:val="24"/>
          <w:szCs w:val="24"/>
        </w:rPr>
        <w:t xml:space="preserve"> Executivo aprovar as condições para aplicação dos recursos;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VIII - voltadas ao atendimento direto e gratuito ao público na área de assistência social que: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 se destinem a pessoas idosas, crianças e adolescentes em situação de vulnerabilidade social, risco pessoal e social;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 sejam voltadas ao atendimento de pessoas em situação de vulnerabilidade social, violação de direito ou diretamente alcançadas por programas e ações de combate à pobreza e geração de trabalho e renda;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Parágrafo único. No caso do inciso I, a transferência de recursos públicos deve ser obrigatoriamente justificada e vinculada ao plano de expansão da oferta pública na respectiva etapa e modalidade de educação.</w:t>
      </w:r>
    </w:p>
    <w:p w:rsidR="00A34638" w:rsidRDefault="00A34638">
      <w:pPr>
        <w:spacing w:after="0" w:line="240" w:lineRule="auto"/>
        <w:ind w:firstLine="1418"/>
        <w:jc w:val="both"/>
        <w:rPr>
          <w:rFonts w:ascii="Times New Roman" w:hAnsi="Times New Roman" w:cs="Times New Roman"/>
          <w:sz w:val="24"/>
          <w:szCs w:val="24"/>
        </w:rPr>
      </w:pPr>
    </w:p>
    <w:p w:rsidR="00A34638" w:rsidRDefault="00A34638">
      <w:pPr>
        <w:spacing w:after="0" w:line="240" w:lineRule="auto"/>
        <w:jc w:val="center"/>
        <w:rPr>
          <w:rFonts w:ascii="Times New Roman" w:hAnsi="Times New Roman" w:cs="Times New Roman"/>
          <w:b/>
          <w:bCs/>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Subseção V</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Das Disposições Gerais para Destinação de Recursos Públicos para Pessoas Físicas e Jurídicas</w:t>
      </w:r>
    </w:p>
    <w:p w:rsidR="00A34638" w:rsidRDefault="00A34638">
      <w:pPr>
        <w:spacing w:after="0" w:line="240" w:lineRule="auto"/>
        <w:ind w:firstLine="1418"/>
        <w:jc w:val="both"/>
        <w:rPr>
          <w:rFonts w:ascii="Times New Roman" w:hAnsi="Times New Roman" w:cs="Times New Roman"/>
          <w:sz w:val="24"/>
          <w:szCs w:val="24"/>
        </w:rPr>
      </w:pP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Art. 39. Sem prejuízo das demais disposições contidas nesta seção, a transferência de recursos prevista na Lei Federal nº 4.320/1964, a entidade privada sem fins lucrativos, dependerá ainda de: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execução da despesa na modalidade de aplicação 50 - Transferências a Instituições Privadas sem fins lucrativos;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estar regularmente constituída, assim considerado: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 no mínimo 2 (dois)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 tenha escrituração de acordo com os princípios fundamentais de contabilidade e com as Normas Brasileiras de Contabilidade;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ter apresentado as prestações de contas de recursos anteriormente recebidos, nos prazos e condições fixados na legislação e no convênio ou termo de parceria, contrato ou instrumento congênere celebrados;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 - não ter como dirigente pessoa que: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 seja membro de Poder, órgão ou entidade da Administração Pública Municipal, estendendo-se a vedação aos respectivos cônjuges ou companheiros, bem como parentes em linha reta, colateral ou por afinidade, até o segundo grau;</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 incida em quaisquer das hipóteses de inelegibilidade previstas no art. 1o, inciso I, da Lei Complementar nº 64, de 18 de maio de 1990;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 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d) tenha sido julgada responsável por falta grave e inabilitada para o exercício de cargo em comissão ou função de confiança, enquanto durar a inabilitação;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e) tenha sido considerada responsável por ato de improbidade, enquanto durarem os prazos estabelecidos nos incisos I, II e III do art. 12 da Lei Federal nº 8.429, de 2 de junho de 1992.</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Parágrafo único. Caberá ao setor de Planejamento verificar e declarar a implementação das condições previstas neste artigo e demais requisitos estabelecidos nesta </w:t>
      </w:r>
      <w:r>
        <w:rPr>
          <w:rFonts w:ascii="Times New Roman" w:hAnsi="Times New Roman" w:cs="Times New Roman"/>
          <w:sz w:val="24"/>
          <w:szCs w:val="24"/>
        </w:rPr>
        <w:lastRenderedPageBreak/>
        <w:t>seção, comunicando à Unidade Central de Controle Interno eventuais irregularidades verificadas.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40.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41.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nome e CNPJ da entidade;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nome, função e CPF dos dirigentes;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área de atuação;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endereço da sede;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 - data, objeto, valor e número do convênio, termo de parceria, contrato ou instrumento congênere;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 - valores transferidos e respectivas datas.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 2º Sem prejuízo do parágrafo anterior, no caso das parcerias celebradas com base nas disposições da Lei Federal nº 13.019/2014, deverão ser observadas, no que couber, as disposições dos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10, 11 e 12 da referida Lei. </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42. A notas de empenho das transferências de recursos de que trata esta Seção deverá serão emitidas até a data da assinatura do respectivo convênio, termo de parceria, ajuste ou instrumento congênere, observado o princípio da competência da despesa, nos termos do art. 50, inciso II, da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43. Toda movimentação de recursos relativos às subvenções, contribuições e auxílios de que trata esta Seção, por parte das entidades beneficiárias, somente será realizada observando-se os seguintes preceitos: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depósito e movimentação em conta bancária específica para cada instrumento de transferência;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desembolsos mediante documento bancário, por meio do qual se faça crédito na conta bancária de titularidade do fornecedor ou prestador de serviços.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Parágrafo único. Quando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44. Não se aplicam a disposições desta seção os recursos entregues a Consórcios Públicos mediante contrato de rateio, nos termos regulados pela Lei Federal nº 11.107/2005 e pelo Decreto Federal nº 6.017/2017.</w:t>
      </w:r>
    </w:p>
    <w:p w:rsidR="00A34638" w:rsidRDefault="00A34638">
      <w:pPr>
        <w:spacing w:after="0" w:line="240" w:lineRule="auto"/>
        <w:ind w:firstLine="1418"/>
        <w:jc w:val="both"/>
        <w:rPr>
          <w:rFonts w:ascii="Times New Roman" w:hAnsi="Times New Roman" w:cs="Times New Roman"/>
          <w:sz w:val="24"/>
          <w:szCs w:val="24"/>
        </w:rPr>
      </w:pPr>
    </w:p>
    <w:p w:rsidR="006F3E18" w:rsidRDefault="006F3E18">
      <w:pPr>
        <w:spacing w:after="0" w:line="240" w:lineRule="auto"/>
        <w:jc w:val="center"/>
        <w:rPr>
          <w:rFonts w:ascii="Times New Roman" w:hAnsi="Times New Roman" w:cs="Times New Roman"/>
          <w:b/>
          <w:bCs/>
          <w:sz w:val="24"/>
          <w:szCs w:val="24"/>
        </w:rPr>
      </w:pPr>
    </w:p>
    <w:p w:rsidR="006F3E18" w:rsidRDefault="006F3E18">
      <w:pPr>
        <w:spacing w:after="0" w:line="240" w:lineRule="auto"/>
        <w:jc w:val="center"/>
        <w:rPr>
          <w:rFonts w:ascii="Times New Roman" w:hAnsi="Times New Roman" w:cs="Times New Roman"/>
          <w:b/>
          <w:bCs/>
          <w:sz w:val="24"/>
          <w:szCs w:val="24"/>
        </w:rPr>
      </w:pPr>
    </w:p>
    <w:p w:rsidR="006F3E18" w:rsidRDefault="006F3E18">
      <w:pPr>
        <w:spacing w:after="0" w:line="240" w:lineRule="auto"/>
        <w:jc w:val="center"/>
        <w:rPr>
          <w:rFonts w:ascii="Times New Roman" w:hAnsi="Times New Roman" w:cs="Times New Roman"/>
          <w:b/>
          <w:bCs/>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Seção VIII</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Dos Empréstimos, Financiamentos e Refinanciamentos</w:t>
      </w:r>
    </w:p>
    <w:p w:rsidR="00A34638" w:rsidRDefault="00A34638">
      <w:pPr>
        <w:spacing w:after="0" w:line="240" w:lineRule="auto"/>
        <w:ind w:firstLine="1418"/>
        <w:jc w:val="center"/>
        <w:rPr>
          <w:rFonts w:ascii="Times New Roman" w:hAnsi="Times New Roman" w:cs="Times New Roman"/>
          <w:b/>
          <w:bCs/>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Art. 45. Observado o disposto no art. 27 da Lei Complementar nº 101/2000, a concessão de empréstimos e financiamentos destinados a pessoas físicas e jurídicas fica condicionada ao pagamento de juros não inferiores a 6% (seis) ao ano, ou ao </w:t>
      </w:r>
      <w:proofErr w:type="gramStart"/>
      <w:r>
        <w:rPr>
          <w:rFonts w:ascii="Times New Roman" w:hAnsi="Times New Roman" w:cs="Times New Roman"/>
          <w:sz w:val="24"/>
          <w:szCs w:val="24"/>
        </w:rPr>
        <w:t>custo  de</w:t>
      </w:r>
      <w:proofErr w:type="gramEnd"/>
      <w:r>
        <w:rPr>
          <w:rFonts w:ascii="Times New Roman" w:hAnsi="Times New Roman" w:cs="Times New Roman"/>
          <w:sz w:val="24"/>
          <w:szCs w:val="24"/>
        </w:rPr>
        <w:t xml:space="preserve"> captação e também às seguintes exigências: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concessão através de fundo rotativo ou programa governamental específico;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pré-seleção e aprovação dos beneficiários pelo Poder Público;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formalização de contrato;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assunção, pelo mutuário, dos encargos financeiros, eventuais comissões, taxas e outras despesas cobradas pelo agente financeiro, quando for o caso.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No caso das pessoas jurídicas, serão consideradas como prioritárias, para a concessão de empréstimos ou financiamentos, as empresas que: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 - desenvolvam projetos de responsabilidade socioambiental; </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integrem as cadeias produtivas locais;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empreguem pessoas com deficiência em proporção superior à exigida no art. 110 da Lei Federal nº 8.213, de 24 de julho de 1991;</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adotem políticas de participação dos trabalhadores nos lucros;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Através de lei específica, poderão ser concedidos subsídios para o pagamento dos empréstimos e financiamentos de que trata o caput deste artigo, bem como autorizadas prorrogações e parcelamentos de saldos devedores.</w:t>
      </w:r>
    </w:p>
    <w:p w:rsidR="00A34638" w:rsidRDefault="00A34638">
      <w:pPr>
        <w:spacing w:after="0" w:line="240" w:lineRule="auto"/>
        <w:ind w:firstLine="1418"/>
        <w:jc w:val="both"/>
        <w:rPr>
          <w:rFonts w:ascii="Times New Roman" w:hAnsi="Times New Roman" w:cs="Times New Roman"/>
          <w:sz w:val="24"/>
          <w:szCs w:val="24"/>
        </w:rPr>
      </w:pP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Capítulo V</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Das Disposições Relativas à Dívida Pública Municipal</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46. A lei orçamentária anual garantirá recursos para pagamento da dívida pública municipal, nos termos dos compromissos firmados, inclusive com a previdência social.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47.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Capítulo VI </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Das Disposições Relativas às Despesas com Pessoal e Encargos Sociais</w:t>
      </w:r>
    </w:p>
    <w:p w:rsidR="00A34638" w:rsidRDefault="00A34638">
      <w:pPr>
        <w:spacing w:after="0" w:line="240" w:lineRule="auto"/>
        <w:ind w:firstLine="1418"/>
        <w:jc w:val="center"/>
        <w:rPr>
          <w:rFonts w:ascii="Times New Roman" w:hAnsi="Times New Roman" w:cs="Times New Roman"/>
          <w:b/>
          <w:bCs/>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48. No exercício de 2026,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Parágrafo único. Todas as unidades gestoras deverão ter como base de projeção de suas propostas orçamentárias, relativo a pessoal e encargos sociais, a despesa com a folha de pagamento do mês de julho de 2026, compatibilizada com as despesas apresentadas até esse mês e os eventuais acréscimos legais com efeito financeiro no próximo exercício, inclusive a revisão geral anual da remuneração dos servidores públicos e o crescimento vegetativo.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Art. 49. Para fins dos limites previstos no art. 19, inciso III, alíneas “a” e “b” da Lei Complementar nº 101/2000, o cálculo das despesas com pessoal dos poderes executivo e legislativo deverá observar as prescrições da Instrução Normativa nº 18/2023 do Tribunal de Contas do Estado, ou a norma que lhe for superveniente.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Parágrafo único. Em atendimento ao disposto no § 1º do artigo 18 da Lei Complementar nº 101/2000, os contratos, convênios e demais ajustes celebrados pelos órgãos e entidades mencionados no art. 6º desta Lei, que contenham elementos indicativos de contratação de mão de obra empregada em atividade-fim da do órgão contratante ou inerentes a categorias funcionais abrangidas pelo respectivo plano de cargos e salários do seu quadro de pessoal deverão identificar, em planilha de custos específica, integrante dos respectivos instrumentos, o valor que se refere ao custo da remuneração de pessoal e encargos sociais, diretamente relacionado com o objeto do ajuste.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50.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Parágrafo único. O Poder Legislativo, observará o cumprimento do disposto neste artigo, mediante ato da mesa diretora da Câmara Municipal.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51.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conceder vantagens e aumentar a remuneração de servidores;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criar e extinguir cargos públicos e alterar a estrutura de carreiras;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prover cargos efetivos, mediante concurso público, bem como efetuar contratações por tempo determinado para atender à necessidade temporária de excepcional interesse público, respeitada a legislação municipal vigente;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IV - prover cargos em comissão e funções de confiança.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Também estão autorizadas as seguintes ações, relacionadas com a política de pessoal da Administração Municipal: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proporcionar o desenvolvimento profissional de servidores municipais, mediante a realização de programas de treinamento;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proporcionar o desenvolvimento pessoal dos servidores municipais, mediante a realização de programas informativos, educativos e culturais;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melhorar as condições de trabalho, equipamentos e infraestrutura, especialmente no que concerne à saúde, alimentação, transporte e segurança no trabalho.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No caso dos incisos I, II, III e IV do Caput, as exposições de motivos dos projetos de lei ou, quando for o caso, os procedimentos administrativos correspondentes, deverão demonstrar, para os efeitos dos artigos 16 e 17 da Lei Complementar nº 101/2000, as seguintes informações: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II - declaração do ordenador de despesa de que há adequação orçamentária e financeira e compatibilidade com esta Lei e com o Plano Plurianual, devendo ser     indicadas as naturezas das despesas e as categorias de programação da Lei Orçamentária Anual que </w:t>
      </w:r>
      <w:r>
        <w:rPr>
          <w:rFonts w:ascii="Times New Roman" w:hAnsi="Times New Roman" w:cs="Times New Roman"/>
          <w:sz w:val="24"/>
          <w:szCs w:val="24"/>
        </w:rPr>
        <w:lastRenderedPageBreak/>
        <w:t>contenha as dotações orçamentárias, detalhando os valores já utilizados e os saldos remanescentes.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3º As estimativas de impacto orçamentário-financeiro e declaração do ordenador de despesas para o aumento dos gastos com pessoal, terão validade de 12 (doze) meses contados da data da sua elaboração, devendo tais documentos ser reelaborados na hipótese de não ser praticado, dentro deste prazo, o ato que resulte aumento da despesa com pessoal.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4º No caso de aumento de despesas com pessoal do Poder Legislativo, deverão ser obedecidos, adicionalmente, os limites fixados nos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29 e 29-A da Constituição Federal.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5º Os atos que provoquem aumento da despesa de que tratam os incisos I, II, III e IV do Caput serão considerados nulos de pleno direito, caso praticados sem o atendimento das disposições dos incisos I e II do § 2º deste artigo.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7º As disposições do § 2º do art. 51 desta Lei não se aplicam aos atos de concessão de vantagens já previstas na legislação pertinente, de caráter meramente declaratório bem como às despesas irrelevantes, até o valor estabelecido no art. 15, § 2º desta lei.</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52.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as situações de emergência ou de calamidade pública;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as situações de risco iminente à segurança de pessoas ou bens;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a relação custo-benefício se revelar mais favorável em relação a outra alternativa possível.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Parágrafo único. A autorização para a realização de serviço extraordinário, no âmbito do Poder Executivo, nas condições estabelecidas neste artigo, é de exclusiva competência do Prefeito Municipal, juntamente com o Secretário da Secretaria Municipal da Fazenda.</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Capítulo VII </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Das Alterações na Legislação Tributária</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53. As receitas serão estimadas e discriminadas: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considerando a legislação tributária vigente até a data do envio do projeto de lei orçamentária à Câmara Municipal;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considerando, se for o caso, os efeitos das alterações na legislação tributária, resultantes de projetos de lei encaminhados à Câmara Municipal até a data de apresentação da proposta orçamentária de 2026, especialmente sobre: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 atualização da planta genérica de valores do Município;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 revisão, atualização ou adequação da legislação sobre o Imposto Predial e Territorial Urbano, suas alíquotas, forma de cálculo, condições de pagamento, descontos e isenções, inclusive com relação à progressividade desse imposto;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c) revisão da legislação sobre o uso do solo, com redefinição dos limites da zona urbana municipal;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d) revisão da legislação referente ao Imposto Sobre Serviços de Qualquer Natureza;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e) revisão da legislação aplicável ao Imposto Sobre Transmissão Inter Vivos de Bens Imóveis e de Direitos Reais sobre Imóveis;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f) instituição de novas taxas pela prestação de serviços públicos e pelo exercício do poder de polícia;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 revisão das isenções tributárias, para atender ao interesse público e à justiça social;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h) revisão das contribuições sociais, destinadas à seguridade social, cuja necessidade tenha sido evidenciada através de cálculo atuarial;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demais incentivos e benefícios fiscais.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54.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55.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1º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 aumento de receita proveniente de elevação de alíquota, ampliação da base de cálculo, majoração ou criação de tributo ou contribuição;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 cancelamento, durante o período em que vigorar o benefício, de despesas em valor equivalente.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2º Poderá ser considerado como aumento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3º Não se sujeitam às regras do § 1º:</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 - a homologação de pedidos concessão de incentivos ou benefícios apresentados com base na legislação municipal preexistente;</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a concessão de incentivos ou benefícios de natureza tributária ou não tributária cujo impacto seja irrelevante, assim considerado o limite de 10% (dez) da Receita Corrente Líquida prevista para o exercício de 2025.</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III - os incentivos ou benefícios de natureza tributária ou não tributária concedidos de acordo com as disposições do art. 65, § 1º, III, da Lei Complementar nº 101/2000.</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Art. 56. Conforme permissivo do art. 172, inciso III, da Lei Federal nº 5.172, de 25 de outubro de 1966, Código Tributário Nacional, e o inciso II, do §3º do art. 14, da Lei Complementar nº 101/2000, os créditos tributários lançados e não arrecadados, inscritos em </w:t>
      </w:r>
      <w:r>
        <w:rPr>
          <w:rFonts w:ascii="Times New Roman" w:hAnsi="Times New Roman" w:cs="Times New Roman"/>
          <w:sz w:val="24"/>
          <w:szCs w:val="24"/>
        </w:rPr>
        <w:lastRenderedPageBreak/>
        <w:t>dívida ativa, cujos custos para cobrança sejam superiores ao crédito tributário, poderão ser cancelados, mediante autorização em lei, não se constituindo como renúncia de receita.</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Capítulo VIII</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Das Disposições Gerais</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57. Para fins de atendimento ao disposto no art. 62 da Lei Complementar nº 101/2000, fica o Poder Executivo autorizado a firmar convênios, ajustes e/ou contratos, para o custeio de despesas de competência da União, do Estado ou de outros Municípios, exclusivamente para o atendimento de programas de segurança pública, justiça eleitoral, fiscalização sanitária, tributária e ambiental, educação, cultura, saúde, assistência social, agricultura, meio ambiente, alistamento militar, defesa civil ou ainda a execução de projetos específicos de desenvolvimento econômico-social.</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Parágrafo único. A Lei Orçamentária anual, ou seus créditos adicionais, deverão contemplar recursos orçamentários suficientes para o atendimento das despesas de que trata o caput deste artigo.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58.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59. Em consonância com o que dispõe o § 5º do art. 166 da Constituição Federal e a Lei Orgânica do Município, poderá o Prefeito enviar Mensagem à Câmara Municipal para propor modificações aos projetos de lei orçamentária enquanto não estiver concluída a votação da parte cuja alteração é proposta.</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60. Fica facultado ao Poder Executivo publicar no órgão oficial de imprensa, de forma simplificada, a Lei Orçamentária Anual bem como as leis e os decretos de abertura dos créditos adicionais.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61. Fica autorizada a retificação e republicação da Lei Orçamentária e dos Créditos Adicionais, nos casos de inexatidões formais.</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Parágrafo único. Para os fins do disposto no caput consideram-se inexatidões formais quaisquer inconformidades com a legislação vigente, da codificação ou descrição de órgãos, unidades orçamentárias, funções, </w:t>
      </w:r>
      <w:proofErr w:type="spellStart"/>
      <w:r>
        <w:rPr>
          <w:rFonts w:ascii="Times New Roman" w:hAnsi="Times New Roman" w:cs="Times New Roman"/>
          <w:sz w:val="24"/>
          <w:szCs w:val="24"/>
        </w:rPr>
        <w:t>subfunções</w:t>
      </w:r>
      <w:proofErr w:type="spellEnd"/>
      <w:r>
        <w:rPr>
          <w:rFonts w:ascii="Times New Roman" w:hAnsi="Times New Roman" w:cs="Times New Roman"/>
          <w:sz w:val="24"/>
          <w:szCs w:val="24"/>
        </w:rPr>
        <w:t>, programas, ações, natureza da despesa ou da receita e fontes de recursos, desde que não impliquem em mudança de valores e de finalidade da programação.</w:t>
      </w: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62 Esta Lei entra em vigor na data de sua publicação.</w:t>
      </w:r>
    </w:p>
    <w:p w:rsidR="00A34638" w:rsidRDefault="00A34638">
      <w:pPr>
        <w:spacing w:after="0" w:line="240" w:lineRule="auto"/>
        <w:ind w:firstLine="1418"/>
        <w:jc w:val="both"/>
        <w:rPr>
          <w:rFonts w:ascii="Times New Roman" w:hAnsi="Times New Roman" w:cs="Times New Roman"/>
          <w:sz w:val="24"/>
          <w:szCs w:val="24"/>
        </w:rPr>
      </w:pPr>
    </w:p>
    <w:p w:rsidR="00A34638" w:rsidRDefault="00B844A6">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Gabinete do Prefeito de Alpestre, aos </w:t>
      </w:r>
      <w:r w:rsidR="00CC7DAC">
        <w:rPr>
          <w:rFonts w:ascii="Times New Roman" w:hAnsi="Times New Roman" w:cs="Times New Roman"/>
          <w:sz w:val="24"/>
          <w:szCs w:val="24"/>
        </w:rPr>
        <w:t>07</w:t>
      </w:r>
      <w:bookmarkStart w:id="0" w:name="_GoBack"/>
      <w:bookmarkEnd w:id="0"/>
      <w:r>
        <w:rPr>
          <w:rFonts w:ascii="Times New Roman" w:hAnsi="Times New Roman" w:cs="Times New Roman"/>
          <w:sz w:val="24"/>
          <w:szCs w:val="24"/>
        </w:rPr>
        <w:t xml:space="preserve"> dias do mês de outubro de 2025.</w:t>
      </w:r>
    </w:p>
    <w:p w:rsidR="00A34638" w:rsidRDefault="00A34638">
      <w:pPr>
        <w:spacing w:after="0" w:line="240" w:lineRule="auto"/>
        <w:jc w:val="both"/>
        <w:rPr>
          <w:rFonts w:ascii="Times New Roman" w:hAnsi="Times New Roman" w:cs="Times New Roman"/>
          <w:sz w:val="24"/>
          <w:szCs w:val="24"/>
        </w:rPr>
      </w:pPr>
    </w:p>
    <w:p w:rsidR="00A34638" w:rsidRDefault="00A34638">
      <w:pPr>
        <w:spacing w:after="0" w:line="240" w:lineRule="auto"/>
        <w:jc w:val="both"/>
        <w:rPr>
          <w:rFonts w:ascii="Times New Roman" w:hAnsi="Times New Roman" w:cs="Times New Roman"/>
          <w:sz w:val="24"/>
          <w:szCs w:val="24"/>
        </w:rPr>
      </w:pPr>
    </w:p>
    <w:p w:rsidR="00A34638" w:rsidRDefault="00A34638">
      <w:pPr>
        <w:spacing w:after="0" w:line="240" w:lineRule="auto"/>
        <w:jc w:val="both"/>
        <w:rPr>
          <w:rFonts w:ascii="Times New Roman" w:hAnsi="Times New Roman" w:cs="Times New Roman"/>
          <w:sz w:val="24"/>
          <w:szCs w:val="24"/>
        </w:rPr>
      </w:pPr>
    </w:p>
    <w:p w:rsidR="00A34638" w:rsidRDefault="00B844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RUDIMAR AGERTON</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Prefeito Municipal</w:t>
      </w:r>
    </w:p>
    <w:p w:rsidR="00A34638" w:rsidRDefault="00A34638">
      <w:pPr>
        <w:pStyle w:val="NormalWeb"/>
        <w:spacing w:before="0" w:after="0" w:line="240" w:lineRule="auto"/>
        <w:jc w:val="center"/>
      </w:pPr>
    </w:p>
    <w:p w:rsidR="00A34638" w:rsidRDefault="00A34638">
      <w:pPr>
        <w:pStyle w:val="NormalWeb"/>
        <w:spacing w:before="0" w:after="0" w:line="240" w:lineRule="auto"/>
        <w:jc w:val="center"/>
      </w:pPr>
    </w:p>
    <w:p w:rsidR="00A34638" w:rsidRDefault="00A34638">
      <w:pPr>
        <w:pStyle w:val="NormalWeb"/>
        <w:spacing w:before="0" w:after="0" w:line="240" w:lineRule="auto"/>
        <w:jc w:val="center"/>
      </w:pPr>
    </w:p>
    <w:p w:rsidR="00A34638" w:rsidRDefault="00A34638">
      <w:pPr>
        <w:pStyle w:val="NormalWeb"/>
        <w:spacing w:before="0" w:after="0" w:line="240" w:lineRule="auto"/>
        <w:jc w:val="center"/>
      </w:pPr>
    </w:p>
    <w:p w:rsidR="00B844A6" w:rsidRDefault="00B844A6">
      <w:pPr>
        <w:pStyle w:val="NormalWeb"/>
        <w:spacing w:before="0" w:after="0" w:line="240" w:lineRule="auto"/>
        <w:jc w:val="center"/>
      </w:pP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EXPOSIÇÃO DE MOTIVOS</w:t>
      </w:r>
    </w:p>
    <w:p w:rsidR="00B844A6" w:rsidRDefault="00B844A6">
      <w:pPr>
        <w:pStyle w:val="Recuodecorpodetexto21"/>
        <w:ind w:firstLine="0"/>
        <w:jc w:val="center"/>
        <w:rPr>
          <w:szCs w:val="24"/>
        </w:rPr>
      </w:pPr>
    </w:p>
    <w:p w:rsidR="00A34638" w:rsidRDefault="00B844A6">
      <w:pPr>
        <w:pStyle w:val="Recuodecorpodetexto21"/>
        <w:ind w:firstLine="0"/>
        <w:jc w:val="center"/>
        <w:rPr>
          <w:szCs w:val="24"/>
        </w:rPr>
      </w:pPr>
      <w:r>
        <w:rPr>
          <w:szCs w:val="24"/>
        </w:rPr>
        <w:t xml:space="preserve">                                          </w:t>
      </w:r>
    </w:p>
    <w:p w:rsidR="00A34638" w:rsidRDefault="00B844A6">
      <w:pPr>
        <w:pStyle w:val="Recuodecorpodetexto21"/>
        <w:ind w:left="708" w:firstLine="708"/>
        <w:rPr>
          <w:szCs w:val="24"/>
        </w:rPr>
      </w:pPr>
      <w:r>
        <w:rPr>
          <w:szCs w:val="24"/>
        </w:rPr>
        <w:t>Senhor Presidente</w:t>
      </w:r>
    </w:p>
    <w:p w:rsidR="00A34638" w:rsidRDefault="00A34638">
      <w:pPr>
        <w:pStyle w:val="Recuodecorpodetexto21"/>
        <w:ind w:left="708" w:firstLine="708"/>
        <w:rPr>
          <w:szCs w:val="24"/>
        </w:rPr>
      </w:pPr>
    </w:p>
    <w:p w:rsidR="00A34638" w:rsidRDefault="00B844A6">
      <w:pPr>
        <w:pStyle w:val="Recuodecorpodetexto21"/>
        <w:ind w:left="708" w:firstLine="708"/>
        <w:rPr>
          <w:szCs w:val="24"/>
        </w:rPr>
      </w:pPr>
      <w:r>
        <w:rPr>
          <w:szCs w:val="24"/>
        </w:rPr>
        <w:t>Senhores Vereadores</w:t>
      </w:r>
    </w:p>
    <w:p w:rsidR="00A34638" w:rsidRDefault="00A34638">
      <w:pPr>
        <w:pStyle w:val="Recuodecorpodetexto21"/>
        <w:ind w:left="708" w:firstLine="708"/>
        <w:rPr>
          <w:szCs w:val="24"/>
        </w:rPr>
      </w:pPr>
    </w:p>
    <w:p w:rsidR="00A34638" w:rsidRDefault="00A34638">
      <w:pPr>
        <w:pStyle w:val="Recuodecorpodetexto21"/>
        <w:ind w:left="708" w:firstLine="708"/>
        <w:rPr>
          <w:szCs w:val="24"/>
        </w:rPr>
      </w:pPr>
    </w:p>
    <w:p w:rsidR="00A34638" w:rsidRDefault="00B844A6">
      <w:pPr>
        <w:pStyle w:val="Recuodecorpodetexto21"/>
        <w:spacing w:line="360" w:lineRule="auto"/>
        <w:rPr>
          <w:szCs w:val="24"/>
        </w:rPr>
      </w:pPr>
      <w:r>
        <w:rPr>
          <w:szCs w:val="24"/>
        </w:rPr>
        <w:t xml:space="preserve">O Projeto de Lei, que ora encaminhados a esta Casa Legislativa, na forma estabelecida no Art. 114 da Lei Orgânica Municipal, objetiva a apreciação da proposta orçamentária para o ano de 2026. </w:t>
      </w:r>
    </w:p>
    <w:p w:rsidR="00A34638" w:rsidRDefault="00B844A6">
      <w:pPr>
        <w:pStyle w:val="Recuodecorpodetexto21"/>
        <w:spacing w:line="360" w:lineRule="auto"/>
        <w:rPr>
          <w:szCs w:val="24"/>
        </w:rPr>
      </w:pPr>
      <w:r>
        <w:rPr>
          <w:szCs w:val="24"/>
        </w:rPr>
        <w:t>Registra-se que o Projeto de Lei foi elaborado em consonância com o PPA (Plano Plurianual) e com a LDO (Lei de Diretrizes Orçamentárias), esta última recente e que foi objeto de análise desta casa.</w:t>
      </w:r>
    </w:p>
    <w:p w:rsidR="00A34638" w:rsidRDefault="00B844A6">
      <w:pPr>
        <w:pStyle w:val="Recuodecorpodetexto21"/>
        <w:spacing w:line="360" w:lineRule="auto"/>
        <w:rPr>
          <w:szCs w:val="24"/>
        </w:rPr>
      </w:pPr>
      <w:r>
        <w:rPr>
          <w:szCs w:val="24"/>
        </w:rPr>
        <w:t xml:space="preserve">O Projeto encaminhado contempla todas as ações previstas na LDO, através de projetos/atividades e observa os limites e valores financeiros nela estabelecidos para cada órgão e unidade. </w:t>
      </w:r>
    </w:p>
    <w:p w:rsidR="00A34638" w:rsidRDefault="00B844A6">
      <w:pPr>
        <w:pStyle w:val="Recuodecorpodetexto21"/>
        <w:spacing w:line="360" w:lineRule="auto"/>
        <w:rPr>
          <w:szCs w:val="24"/>
        </w:rPr>
      </w:pPr>
      <w:r>
        <w:rPr>
          <w:szCs w:val="24"/>
        </w:rPr>
        <w:t>Destaca-se, ainda, que a LOA contempla recursos suficientes para o cumprimento dos limites mínimos constitucionais de gastos na Saúde (15%), Educação (25%), divididos entre MDE e FUNDEB, bem como recursos para o Regime Próprio de Previdência Social.</w:t>
      </w:r>
    </w:p>
    <w:p w:rsidR="00A34638" w:rsidRDefault="00B844A6">
      <w:pPr>
        <w:pStyle w:val="Recuodecorpodetexto21"/>
        <w:spacing w:line="360" w:lineRule="auto"/>
        <w:rPr>
          <w:szCs w:val="24"/>
        </w:rPr>
      </w:pPr>
      <w:r>
        <w:rPr>
          <w:szCs w:val="24"/>
        </w:rPr>
        <w:t>Outrossim, é conveniente destacar que o orçamento detalha todas as ações de saúde, educação e assistência social a serem cobertas com recursos de convênios com a União e o Estado, cada qual vinculado à sua finalidade.</w:t>
      </w:r>
    </w:p>
    <w:p w:rsidR="00A34638" w:rsidRDefault="00B844A6">
      <w:pPr>
        <w:pStyle w:val="Recuodecorpodetexto21"/>
        <w:spacing w:line="360" w:lineRule="auto"/>
        <w:rPr>
          <w:szCs w:val="24"/>
        </w:rPr>
      </w:pPr>
      <w:r>
        <w:rPr>
          <w:szCs w:val="24"/>
        </w:rPr>
        <w:t>Diante de todo o exposto e diante da clareza da proposta, espera-se a sua aprovação, por unanimidade.</w:t>
      </w:r>
    </w:p>
    <w:p w:rsidR="00A34638" w:rsidRDefault="00A34638">
      <w:pPr>
        <w:pStyle w:val="Recuodecorpodetexto21"/>
        <w:rPr>
          <w:szCs w:val="24"/>
        </w:rPr>
      </w:pPr>
    </w:p>
    <w:p w:rsidR="00A34638" w:rsidRDefault="00B844A6">
      <w:pPr>
        <w:pStyle w:val="Recuodecorpodetexto21"/>
        <w:ind w:left="708" w:firstLine="708"/>
        <w:rPr>
          <w:szCs w:val="24"/>
        </w:rPr>
      </w:pPr>
      <w:r>
        <w:rPr>
          <w:szCs w:val="24"/>
        </w:rPr>
        <w:t>Atenciosamente,</w:t>
      </w:r>
    </w:p>
    <w:p w:rsidR="00A34638" w:rsidRDefault="00A34638">
      <w:pPr>
        <w:pStyle w:val="Recuodecorpodetexto21"/>
        <w:ind w:firstLine="0"/>
        <w:jc w:val="center"/>
        <w:rPr>
          <w:szCs w:val="24"/>
        </w:rPr>
      </w:pPr>
    </w:p>
    <w:p w:rsidR="00A34638" w:rsidRDefault="00A34638">
      <w:pPr>
        <w:pStyle w:val="Recuodecorpodetexto21"/>
        <w:ind w:firstLine="0"/>
        <w:jc w:val="center"/>
        <w:rPr>
          <w:b/>
          <w:szCs w:val="24"/>
        </w:rPr>
      </w:pPr>
    </w:p>
    <w:p w:rsidR="00A34638" w:rsidRDefault="00A34638">
      <w:pPr>
        <w:pStyle w:val="Recuodecorpodetexto21"/>
        <w:ind w:firstLine="0"/>
        <w:jc w:val="center"/>
        <w:rPr>
          <w:b/>
          <w:szCs w:val="24"/>
        </w:rPr>
      </w:pPr>
    </w:p>
    <w:p w:rsidR="00A34638" w:rsidRDefault="00B844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RUDIMAR ARGENTON</w:t>
      </w:r>
    </w:p>
    <w:p w:rsidR="00A34638" w:rsidRDefault="00B844A6">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Prefeito Municipal</w:t>
      </w:r>
    </w:p>
    <w:p w:rsidR="00A34638" w:rsidRDefault="00A34638">
      <w:pPr>
        <w:pStyle w:val="NormalWeb"/>
        <w:spacing w:before="0" w:after="0" w:line="240" w:lineRule="auto"/>
        <w:jc w:val="center"/>
      </w:pPr>
    </w:p>
    <w:p w:rsidR="00A34638" w:rsidRDefault="00A34638">
      <w:pPr>
        <w:pStyle w:val="Recuodecorpodetexto21"/>
        <w:ind w:firstLine="0"/>
        <w:jc w:val="center"/>
        <w:rPr>
          <w:b/>
          <w:szCs w:val="24"/>
        </w:rPr>
      </w:pPr>
    </w:p>
    <w:p w:rsidR="00A34638" w:rsidRDefault="00A34638">
      <w:pPr>
        <w:spacing w:after="0" w:line="240" w:lineRule="auto"/>
        <w:jc w:val="both"/>
        <w:rPr>
          <w:rFonts w:ascii="Times New Roman" w:hAnsi="Times New Roman" w:cs="Times New Roman"/>
          <w:sz w:val="24"/>
          <w:szCs w:val="24"/>
        </w:rPr>
      </w:pPr>
    </w:p>
    <w:p w:rsidR="00A34638" w:rsidRDefault="00A34638">
      <w:pPr>
        <w:spacing w:after="0" w:line="240" w:lineRule="auto"/>
        <w:jc w:val="both"/>
        <w:rPr>
          <w:rFonts w:ascii="Times New Roman" w:hAnsi="Times New Roman" w:cs="Times New Roman"/>
          <w:sz w:val="24"/>
          <w:szCs w:val="24"/>
        </w:rPr>
      </w:pPr>
    </w:p>
    <w:sectPr w:rsidR="00A34638">
      <w:pgSz w:w="11906" w:h="16838"/>
      <w:pgMar w:top="2552" w:right="1133" w:bottom="1135"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638"/>
    <w:rsid w:val="006F3E18"/>
    <w:rsid w:val="00A34638"/>
    <w:rsid w:val="00B844A6"/>
    <w:rsid w:val="00CC7DA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574E7-FBBC-4009-9BB9-0BFCB81B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5A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A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A61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A61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A61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A61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A61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A61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A61A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5A61A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5A61A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5A61A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5A61A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5A61A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5A61A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5A61A7"/>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5A61A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5A61A7"/>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5A61A7"/>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5A61A7"/>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5A61A7"/>
    <w:rPr>
      <w:i/>
      <w:iCs/>
      <w:color w:val="404040" w:themeColor="text1" w:themeTint="BF"/>
    </w:rPr>
  </w:style>
  <w:style w:type="character" w:styleId="nfaseIntensa">
    <w:name w:val="Intense Emphasis"/>
    <w:basedOn w:val="Fontepargpadro"/>
    <w:uiPriority w:val="21"/>
    <w:qFormat/>
    <w:rsid w:val="005A61A7"/>
    <w:rPr>
      <w:i/>
      <w:iCs/>
      <w:color w:val="0F4761" w:themeColor="accent1" w:themeShade="BF"/>
    </w:rPr>
  </w:style>
  <w:style w:type="character" w:customStyle="1" w:styleId="CitaoIntensaChar">
    <w:name w:val="Citação Intensa Char"/>
    <w:basedOn w:val="Fontepargpadro"/>
    <w:link w:val="CitaoIntensa"/>
    <w:uiPriority w:val="30"/>
    <w:qFormat/>
    <w:rsid w:val="005A61A7"/>
    <w:rPr>
      <w:i/>
      <w:iCs/>
      <w:color w:val="0F4761" w:themeColor="accent1" w:themeShade="BF"/>
    </w:rPr>
  </w:style>
  <w:style w:type="character" w:styleId="RefernciaIntensa">
    <w:name w:val="Intense Reference"/>
    <w:basedOn w:val="Fontepargpadro"/>
    <w:uiPriority w:val="32"/>
    <w:qFormat/>
    <w:rsid w:val="005A61A7"/>
    <w:rPr>
      <w:b/>
      <w:bCs/>
      <w:smallCaps/>
      <w:color w:val="0F4761" w:themeColor="accent1" w:themeShade="BF"/>
      <w:spacing w:val="5"/>
    </w:rPr>
  </w:style>
  <w:style w:type="paragraph" w:styleId="Ttulo">
    <w:name w:val="Title"/>
    <w:basedOn w:val="Normal"/>
    <w:next w:val="Corpodetexto"/>
    <w:link w:val="TtuloChar"/>
    <w:uiPriority w:val="10"/>
    <w:qFormat/>
    <w:rsid w:val="005A61A7"/>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link w:val="SubttuloChar"/>
    <w:uiPriority w:val="11"/>
    <w:qFormat/>
    <w:rsid w:val="005A61A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A61A7"/>
    <w:pPr>
      <w:spacing w:before="160"/>
      <w:jc w:val="center"/>
    </w:pPr>
    <w:rPr>
      <w:i/>
      <w:iCs/>
      <w:color w:val="404040" w:themeColor="text1" w:themeTint="BF"/>
    </w:rPr>
  </w:style>
  <w:style w:type="paragraph" w:styleId="PargrafodaLista">
    <w:name w:val="List Paragraph"/>
    <w:basedOn w:val="Normal"/>
    <w:uiPriority w:val="34"/>
    <w:qFormat/>
    <w:rsid w:val="005A61A7"/>
    <w:pPr>
      <w:ind w:left="720"/>
      <w:contextualSpacing/>
    </w:pPr>
  </w:style>
  <w:style w:type="paragraph" w:styleId="CitaoIntensa">
    <w:name w:val="Intense Quote"/>
    <w:basedOn w:val="Normal"/>
    <w:next w:val="Normal"/>
    <w:link w:val="CitaoIntensaChar"/>
    <w:uiPriority w:val="30"/>
    <w:qFormat/>
    <w:rsid w:val="005A61A7"/>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NormalWeb">
    <w:name w:val="Normal (Web)"/>
    <w:basedOn w:val="Normal"/>
    <w:qFormat/>
    <w:rsid w:val="00EC3C52"/>
    <w:pPr>
      <w:spacing w:before="280" w:after="142" w:line="276" w:lineRule="auto"/>
    </w:pPr>
    <w:rPr>
      <w:rFonts w:ascii="Times New Roman" w:eastAsia="Times New Roman" w:hAnsi="Times New Roman" w:cs="Times New Roman"/>
      <w:kern w:val="0"/>
      <w:sz w:val="24"/>
      <w:szCs w:val="24"/>
      <w:lang w:eastAsia="zh-CN"/>
      <w14:ligatures w14:val="none"/>
    </w:rPr>
  </w:style>
  <w:style w:type="paragraph" w:customStyle="1" w:styleId="Recuodecorpodetexto21">
    <w:name w:val="Recuo de corpo de texto 21"/>
    <w:basedOn w:val="Normal"/>
    <w:qFormat/>
    <w:rsid w:val="00EC3C52"/>
    <w:pPr>
      <w:snapToGrid w:val="0"/>
      <w:spacing w:after="0" w:line="240" w:lineRule="auto"/>
      <w:ind w:firstLine="1416"/>
      <w:jc w:val="both"/>
    </w:pPr>
    <w:rPr>
      <w:rFonts w:ascii="Times New Roman" w:eastAsia="Times New Roman" w:hAnsi="Times New Roman"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22</Pages>
  <Words>10147</Words>
  <Characters>54795</Characters>
  <Application>Microsoft Office Word</Application>
  <DocSecurity>0</DocSecurity>
  <Lines>456</Lines>
  <Paragraphs>129</Paragraphs>
  <ScaleCrop>false</ScaleCrop>
  <Company/>
  <LinksUpToDate>false</LinksUpToDate>
  <CharactersWithSpaces>64813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Lourenço Dewallau</dc:creator>
  <dc:description/>
  <cp:lastModifiedBy>ADM 01</cp:lastModifiedBy>
  <cp:revision>7</cp:revision>
  <cp:lastPrinted>2024-11-01T09:25:00Z</cp:lastPrinted>
  <dcterms:created xsi:type="dcterms:W3CDTF">2025-10-01T14:24:00Z</dcterms:created>
  <dcterms:modified xsi:type="dcterms:W3CDTF">2025-10-07T10:58:00Z</dcterms:modified>
  <dc:language>pt-BR</dc:language>
</cp:coreProperties>
</file>