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D0" w:rsidRPr="003603D0" w:rsidRDefault="003603D0" w:rsidP="003603D0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</w:t>
      </w:r>
      <w:r w:rsidR="00092520">
        <w:rPr>
          <w:rFonts w:ascii="Times New Roman" w:hAnsi="Times New Roman" w:cs="Times New Roman"/>
          <w:b/>
          <w:sz w:val="24"/>
          <w:szCs w:val="24"/>
        </w:rPr>
        <w:t>O DE LEI Nº 01</w:t>
      </w:r>
      <w:r w:rsidR="00205AFC">
        <w:rPr>
          <w:rFonts w:ascii="Times New Roman" w:hAnsi="Times New Roman" w:cs="Times New Roman"/>
          <w:b/>
          <w:sz w:val="24"/>
          <w:szCs w:val="24"/>
        </w:rPr>
        <w:t>2/</w:t>
      </w:r>
      <w:r w:rsidR="00092520">
        <w:rPr>
          <w:rFonts w:ascii="Times New Roman" w:hAnsi="Times New Roman" w:cs="Times New Roman"/>
          <w:b/>
          <w:sz w:val="24"/>
          <w:szCs w:val="24"/>
        </w:rPr>
        <w:t>25, DE 05</w:t>
      </w:r>
      <w:r w:rsidRPr="003603D0">
        <w:rPr>
          <w:rFonts w:ascii="Times New Roman" w:hAnsi="Times New Roman" w:cs="Times New Roman"/>
          <w:b/>
          <w:sz w:val="24"/>
          <w:szCs w:val="24"/>
        </w:rPr>
        <w:t xml:space="preserve"> DE FEVEREIRO DE 2025.</w:t>
      </w:r>
    </w:p>
    <w:p w:rsidR="00F03093" w:rsidRPr="003603D0" w:rsidRDefault="00F03093" w:rsidP="003603D0">
      <w:pPr>
        <w:pStyle w:val="Standard"/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p w:rsidR="00F03093" w:rsidRPr="00092520" w:rsidRDefault="0030163F" w:rsidP="003603D0">
      <w:pPr>
        <w:pStyle w:val="Standard"/>
        <w:spacing w:after="0" w:line="240" w:lineRule="auto"/>
        <w:ind w:left="4536" w:righ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2520">
        <w:rPr>
          <w:rFonts w:ascii="Times New Roman" w:hAnsi="Times New Roman" w:cs="Times New Roman"/>
          <w:i/>
          <w:sz w:val="24"/>
          <w:szCs w:val="24"/>
        </w:rPr>
        <w:t>Autoriza o Poder Executivo a contratar operação de crédito com o BANCO DO BRASIL S.A</w:t>
      </w:r>
      <w:r w:rsidR="003603D0" w:rsidRPr="00092520">
        <w:rPr>
          <w:rFonts w:ascii="Times New Roman" w:hAnsi="Times New Roman" w:cs="Times New Roman"/>
          <w:i/>
          <w:sz w:val="24"/>
          <w:szCs w:val="24"/>
        </w:rPr>
        <w:t>.</w:t>
      </w:r>
      <w:r w:rsidRPr="00092520">
        <w:rPr>
          <w:rFonts w:ascii="Times New Roman" w:hAnsi="Times New Roman" w:cs="Times New Roman"/>
          <w:i/>
          <w:sz w:val="24"/>
          <w:szCs w:val="24"/>
        </w:rPr>
        <w:t>, com a garantia da União e dá outras providências.</w:t>
      </w:r>
    </w:p>
    <w:p w:rsidR="00F03093" w:rsidRPr="003603D0" w:rsidRDefault="00F03093" w:rsidP="003603D0">
      <w:pPr>
        <w:pStyle w:val="Standard"/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F03093" w:rsidRPr="003603D0" w:rsidRDefault="003603D0" w:rsidP="00B86615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Art. 1º</w:t>
      </w:r>
      <w:r w:rsidR="0030163F" w:rsidRPr="003603D0">
        <w:rPr>
          <w:rFonts w:ascii="Times New Roman" w:hAnsi="Times New Roman" w:cs="Times New Roman"/>
          <w:sz w:val="24"/>
          <w:szCs w:val="24"/>
        </w:rPr>
        <w:t xml:space="preserve"> Fica o Poder Executivo autorizado a contratar operação de crédito junto ao BANCO DO BRASIL S.A., com a garantia da União, até o valor de R$</w:t>
      </w:r>
      <w:r w:rsidRPr="003603D0">
        <w:rPr>
          <w:rFonts w:ascii="Times New Roman" w:hAnsi="Times New Roman" w:cs="Times New Roman"/>
          <w:sz w:val="24"/>
          <w:szCs w:val="24"/>
        </w:rPr>
        <w:t>30.000.000,00 (trinta milhões de reais)</w:t>
      </w:r>
      <w:r w:rsidR="0030163F" w:rsidRPr="003603D0">
        <w:rPr>
          <w:rFonts w:ascii="Times New Roman" w:hAnsi="Times New Roman" w:cs="Times New Roman"/>
          <w:sz w:val="24"/>
          <w:szCs w:val="24"/>
        </w:rPr>
        <w:t xml:space="preserve">, no âmbito do </w:t>
      </w:r>
      <w:r w:rsidR="0030163F" w:rsidRPr="00B86615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7178" w:rsidRPr="00B86615">
        <w:rPr>
          <w:rFonts w:ascii="Times New Roman" w:hAnsi="Times New Roman" w:cs="Times New Roman"/>
          <w:sz w:val="24"/>
          <w:szCs w:val="24"/>
        </w:rPr>
        <w:t>de Eficiência Municipal-PEM</w:t>
      </w:r>
      <w:r w:rsidR="0030163F" w:rsidRPr="00B86615">
        <w:rPr>
          <w:rFonts w:ascii="Times New Roman" w:hAnsi="Times New Roman" w:cs="Times New Roman"/>
          <w:sz w:val="24"/>
          <w:szCs w:val="24"/>
        </w:rPr>
        <w:t>, nos termos da Resolução CMN nº 4.995, de 24.03.2022, e suas alterações, destinados a</w:t>
      </w:r>
      <w:r w:rsidRPr="00B86615">
        <w:rPr>
          <w:rFonts w:ascii="Times New Roman" w:hAnsi="Times New Roman" w:cs="Times New Roman"/>
          <w:sz w:val="24"/>
          <w:szCs w:val="24"/>
        </w:rPr>
        <w:t xml:space="preserve"> investimentos nas áreas</w:t>
      </w:r>
      <w:r w:rsidR="00920971" w:rsidRPr="00B86615">
        <w:rPr>
          <w:rFonts w:ascii="Times New Roman" w:hAnsi="Times New Roman" w:cs="Times New Roman"/>
          <w:sz w:val="24"/>
          <w:szCs w:val="24"/>
        </w:rPr>
        <w:t xml:space="preserve"> de infraestrutura</w:t>
      </w:r>
      <w:r w:rsidR="00B86615" w:rsidRPr="00B86615">
        <w:rPr>
          <w:rFonts w:ascii="Times New Roman" w:hAnsi="Times New Roman" w:cs="Times New Roman"/>
          <w:sz w:val="24"/>
          <w:szCs w:val="24"/>
        </w:rPr>
        <w:t xml:space="preserve"> e obras civis</w:t>
      </w:r>
      <w:r w:rsidR="001A74E5" w:rsidRPr="00B86615">
        <w:rPr>
          <w:rFonts w:ascii="Times New Roman" w:hAnsi="Times New Roman" w:cs="Times New Roman"/>
          <w:sz w:val="24"/>
          <w:szCs w:val="24"/>
        </w:rPr>
        <w:t>,</w:t>
      </w:r>
      <w:r w:rsidR="00920971" w:rsidRPr="00B86615">
        <w:rPr>
          <w:rFonts w:ascii="Times New Roman" w:hAnsi="Times New Roman" w:cs="Times New Roman"/>
          <w:sz w:val="24"/>
          <w:szCs w:val="24"/>
        </w:rPr>
        <w:t xml:space="preserve"> mobilidade</w:t>
      </w:r>
      <w:r w:rsidR="00755599" w:rsidRPr="00B86615">
        <w:rPr>
          <w:rFonts w:ascii="Times New Roman" w:hAnsi="Times New Roman" w:cs="Times New Roman"/>
          <w:sz w:val="24"/>
          <w:szCs w:val="24"/>
        </w:rPr>
        <w:t xml:space="preserve">, </w:t>
      </w:r>
      <w:r w:rsidR="00B86615" w:rsidRPr="00B86615">
        <w:rPr>
          <w:rFonts w:ascii="Times New Roman" w:hAnsi="Times New Roman" w:cs="Times New Roman"/>
          <w:sz w:val="24"/>
          <w:szCs w:val="24"/>
        </w:rPr>
        <w:t>urbanização, saneamento</w:t>
      </w:r>
      <w:r w:rsidR="00B86615">
        <w:rPr>
          <w:rFonts w:ascii="Times New Roman" w:hAnsi="Times New Roman" w:cs="Times New Roman"/>
          <w:sz w:val="24"/>
          <w:szCs w:val="24"/>
        </w:rPr>
        <w:t xml:space="preserve"> e </w:t>
      </w:r>
      <w:r w:rsidR="00755599" w:rsidRPr="00B86615">
        <w:rPr>
          <w:rFonts w:ascii="Times New Roman" w:hAnsi="Times New Roman" w:cs="Times New Roman"/>
          <w:sz w:val="24"/>
          <w:szCs w:val="24"/>
        </w:rPr>
        <w:t>aquisição de equipamentos,</w:t>
      </w:r>
      <w:r w:rsidR="0030163F" w:rsidRPr="00B86615">
        <w:rPr>
          <w:rFonts w:ascii="Times New Roman" w:hAnsi="Times New Roman" w:cs="Times New Roman"/>
          <w:sz w:val="24"/>
          <w:szCs w:val="24"/>
        </w:rPr>
        <w:t xml:space="preserve"> observada</w:t>
      </w:r>
      <w:r w:rsidR="0030163F" w:rsidRPr="00B8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63F" w:rsidRPr="00B86615">
        <w:rPr>
          <w:rFonts w:ascii="Times New Roman" w:hAnsi="Times New Roman" w:cs="Times New Roman"/>
          <w:sz w:val="24"/>
          <w:szCs w:val="24"/>
        </w:rPr>
        <w:t>a legislação vigente, em especial as disposições da Lei Complementar n° 101, de 04 de maio de 2000.</w:t>
      </w:r>
    </w:p>
    <w:p w:rsidR="00F03093" w:rsidRPr="003603D0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3603D0">
        <w:rPr>
          <w:rFonts w:ascii="Times New Roman" w:hAnsi="Times New Roman" w:cs="Times New Roman"/>
          <w:sz w:val="24"/>
          <w:szCs w:val="24"/>
        </w:rPr>
        <w:t xml:space="preserve">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:rsidR="00F03093" w:rsidRPr="003603D0" w:rsidRDefault="003603D0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30163F" w:rsidRPr="003603D0">
        <w:rPr>
          <w:rFonts w:ascii="Times New Roman" w:hAnsi="Times New Roman" w:cs="Times New Roman"/>
          <w:sz w:val="24"/>
          <w:szCs w:val="24"/>
        </w:rPr>
        <w:t xml:space="preserve">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:rsidR="00F03093" w:rsidRPr="003603D0" w:rsidRDefault="003603D0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Art. 3º</w:t>
      </w:r>
      <w:r w:rsidR="0030163F" w:rsidRPr="003603D0">
        <w:rPr>
          <w:rFonts w:ascii="Times New Roman" w:hAnsi="Times New Roman" w:cs="Times New Roman"/>
          <w:sz w:val="24"/>
          <w:szCs w:val="24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101/2000.</w:t>
      </w:r>
    </w:p>
    <w:p w:rsidR="00F03093" w:rsidRPr="003603D0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Art. 4º</w:t>
      </w:r>
      <w:r w:rsidRPr="003603D0">
        <w:rPr>
          <w:rFonts w:ascii="Times New Roman" w:hAnsi="Times New Roman" w:cs="Times New Roman"/>
          <w:sz w:val="24"/>
          <w:szCs w:val="24"/>
        </w:rPr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F03093" w:rsidRPr="003603D0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Art. 5º</w:t>
      </w:r>
      <w:r w:rsidRPr="003603D0">
        <w:rPr>
          <w:rFonts w:ascii="Times New Roman" w:hAnsi="Times New Roman" w:cs="Times New Roman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F03093" w:rsidRPr="00BA48FD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A48F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603D0" w:rsidRPr="00BA48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48FD">
        <w:rPr>
          <w:rFonts w:ascii="Times New Roman" w:hAnsi="Times New Roman" w:cs="Times New Roman"/>
          <w:b/>
          <w:bCs/>
          <w:sz w:val="24"/>
          <w:szCs w:val="24"/>
        </w:rPr>
        <w:t>6º</w:t>
      </w:r>
      <w:r w:rsidRPr="00BA48FD">
        <w:rPr>
          <w:rFonts w:ascii="Times New Roman" w:hAnsi="Times New Roman" w:cs="Times New Roman"/>
          <w:sz w:val="24"/>
          <w:szCs w:val="24"/>
        </w:rPr>
        <w:t xml:space="preserve"> Para pagamento do principal, juros, tarifas bancárias e demais encargos financeiros e despesas da operação de crédito, fica o Banco do Brasil autorizado a debitar a conta</w:t>
      </w:r>
      <w:r w:rsidR="00092520">
        <w:rPr>
          <w:rFonts w:ascii="Times New Roman" w:hAnsi="Times New Roman" w:cs="Times New Roman"/>
          <w:sz w:val="24"/>
          <w:szCs w:val="24"/>
        </w:rPr>
        <w:t xml:space="preserve"> </w:t>
      </w:r>
      <w:r w:rsidRPr="00BA48FD">
        <w:rPr>
          <w:rFonts w:ascii="Times New Roman" w:hAnsi="Times New Roman" w:cs="Times New Roman"/>
          <w:sz w:val="24"/>
          <w:szCs w:val="24"/>
        </w:rPr>
        <w:t>corrente de titularidade do município</w:t>
      </w:r>
      <w:r w:rsidRPr="00BA48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48FD">
        <w:rPr>
          <w:rFonts w:ascii="Times New Roman" w:hAnsi="Times New Roman" w:cs="Times New Roman"/>
          <w:sz w:val="24"/>
          <w:szCs w:val="24"/>
        </w:rPr>
        <w:t xml:space="preserve"> a ser indicada no contrato, em que são efetuados os créditos dos recursos </w:t>
      </w:r>
      <w:r w:rsidR="003603D0" w:rsidRPr="00BA48FD">
        <w:rPr>
          <w:rFonts w:ascii="Times New Roman" w:hAnsi="Times New Roman" w:cs="Times New Roman"/>
          <w:color w:val="000000"/>
          <w:sz w:val="24"/>
          <w:szCs w:val="24"/>
        </w:rPr>
        <w:t>do  município, ou qua</w:t>
      </w:r>
      <w:r w:rsidRPr="00BA48FD">
        <w:rPr>
          <w:rFonts w:ascii="Times New Roman" w:hAnsi="Times New Roman" w:cs="Times New Roman"/>
          <w:color w:val="000000"/>
          <w:sz w:val="24"/>
          <w:szCs w:val="24"/>
        </w:rPr>
        <w:t>isquer outras contas, salvo as de destinação específica, mantida em sua agênci</w:t>
      </w:r>
      <w:r w:rsidRPr="00BA48FD">
        <w:rPr>
          <w:rFonts w:ascii="Times New Roman" w:hAnsi="Times New Roman" w:cs="Times New Roman"/>
          <w:sz w:val="24"/>
          <w:szCs w:val="24"/>
        </w:rPr>
        <w:t>a, os montantes necessários às amortizações e pagamento final da dívida, nos prazos contratualmente estipulados.</w:t>
      </w:r>
    </w:p>
    <w:p w:rsidR="00F03093" w:rsidRPr="003603D0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A48FD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3603D0" w:rsidRPr="00BA48FD">
        <w:rPr>
          <w:rFonts w:ascii="Times New Roman" w:hAnsi="Times New Roman" w:cs="Times New Roman"/>
          <w:b/>
          <w:sz w:val="24"/>
          <w:szCs w:val="24"/>
        </w:rPr>
        <w:t>.</w:t>
      </w:r>
      <w:r w:rsidRPr="00BA48FD">
        <w:rPr>
          <w:rFonts w:ascii="Times New Roman" w:hAnsi="Times New Roman" w:cs="Times New Roman"/>
          <w:sz w:val="24"/>
          <w:szCs w:val="24"/>
        </w:rPr>
        <w:t xml:space="preserve"> Fica dispensada a emissão da nota de empenho para a realização das despesas a que se refere este artigo, nos termos do §1º, do art. 60, da Lei 4.320, de 17 de março de 1964.</w:t>
      </w:r>
    </w:p>
    <w:p w:rsidR="00F03093" w:rsidRPr="003603D0" w:rsidRDefault="0030163F" w:rsidP="003603D0">
      <w:pPr>
        <w:pStyle w:val="Standard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Art. 7º</w:t>
      </w:r>
      <w:r w:rsidRPr="003603D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F03093" w:rsidRPr="003603D0" w:rsidRDefault="0030163F" w:rsidP="003603D0">
      <w:pPr>
        <w:widowControl/>
        <w:suppressAutoHyphens w:val="0"/>
        <w:autoSpaceDE w:val="0"/>
        <w:spacing w:after="0" w:line="240" w:lineRule="auto"/>
        <w:ind w:right="57" w:firstLine="141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603D0">
        <w:rPr>
          <w:rFonts w:ascii="Times New Roman" w:hAnsi="Times New Roman" w:cs="Times New Roman"/>
          <w:color w:val="000000"/>
          <w:sz w:val="24"/>
          <w:szCs w:val="24"/>
        </w:rPr>
        <w:t xml:space="preserve">Gabinete do Prefeito de </w:t>
      </w:r>
      <w:r w:rsidR="003603D0" w:rsidRPr="003603D0">
        <w:rPr>
          <w:rFonts w:ascii="Times New Roman" w:hAnsi="Times New Roman" w:cs="Times New Roman"/>
          <w:color w:val="000000"/>
          <w:sz w:val="24"/>
          <w:szCs w:val="24"/>
        </w:rPr>
        <w:t xml:space="preserve">Alpestre, aos </w:t>
      </w:r>
      <w:r w:rsidR="00092520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BC6446">
        <w:rPr>
          <w:rFonts w:ascii="Times New Roman" w:hAnsi="Times New Roman" w:cs="Times New Roman"/>
          <w:color w:val="000000"/>
          <w:sz w:val="24"/>
          <w:szCs w:val="24"/>
        </w:rPr>
        <w:t xml:space="preserve"> dias do mês de fevereiro </w:t>
      </w:r>
      <w:r w:rsidR="003603D0" w:rsidRPr="003603D0">
        <w:rPr>
          <w:rFonts w:ascii="Times New Roman" w:hAnsi="Times New Roman" w:cs="Times New Roman"/>
          <w:color w:val="000000"/>
          <w:sz w:val="24"/>
          <w:szCs w:val="24"/>
        </w:rPr>
        <w:t>de 2025</w:t>
      </w:r>
      <w:r w:rsidRPr="003603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093" w:rsidRDefault="00F03093" w:rsidP="003603D0">
      <w:pPr>
        <w:pStyle w:val="Textbody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3603D0" w:rsidRPr="003603D0" w:rsidRDefault="003603D0" w:rsidP="003603D0">
      <w:pPr>
        <w:pStyle w:val="Textbody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F03093" w:rsidRPr="003603D0" w:rsidRDefault="003603D0" w:rsidP="003603D0">
      <w:pPr>
        <w:pStyle w:val="Textbody"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D0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EC1427" w:rsidRDefault="003603D0" w:rsidP="0066019C">
      <w:pPr>
        <w:pStyle w:val="Textbody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D0">
        <w:rPr>
          <w:rFonts w:ascii="Times New Roman" w:hAnsi="Times New Roman" w:cs="Times New Roman"/>
          <w:sz w:val="24"/>
          <w:szCs w:val="24"/>
        </w:rPr>
        <w:t>Prefeito Municipal</w:t>
      </w:r>
    </w:p>
    <w:p w:rsidR="00DD6B8D" w:rsidRDefault="00DD6B8D" w:rsidP="00660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A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JUSTIFICATIVA AO PROJETO DE LEI </w:t>
      </w:r>
    </w:p>
    <w:p w:rsidR="0066019C" w:rsidRDefault="0066019C" w:rsidP="0066019C">
      <w:pPr>
        <w:spacing w:after="0" w:line="240" w:lineRule="auto"/>
        <w:jc w:val="center"/>
        <w:rPr>
          <w:sz w:val="24"/>
          <w:szCs w:val="24"/>
        </w:rPr>
      </w:pPr>
    </w:p>
    <w:p w:rsidR="0066019C" w:rsidRPr="005A4A25" w:rsidRDefault="0066019C" w:rsidP="003D0D0A">
      <w:pPr>
        <w:spacing w:after="0"/>
        <w:jc w:val="center"/>
        <w:rPr>
          <w:sz w:val="24"/>
          <w:szCs w:val="24"/>
        </w:rPr>
      </w:pPr>
    </w:p>
    <w:p w:rsidR="00DD6B8D" w:rsidRDefault="00DD6B8D" w:rsidP="003D0D0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EC1427">
        <w:rPr>
          <w:rFonts w:ascii="Times New Roman" w:hAnsi="Times New Roman" w:cs="Times New Roman"/>
          <w:sz w:val="24"/>
          <w:szCs w:val="24"/>
        </w:rPr>
        <w:t>Senhor Presidente</w:t>
      </w:r>
      <w:bookmarkStart w:id="0" w:name="_GoBack"/>
      <w:bookmarkEnd w:id="0"/>
    </w:p>
    <w:p w:rsidR="0066019C" w:rsidRPr="00EC1427" w:rsidRDefault="0066019C" w:rsidP="003D0D0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D6B8D" w:rsidRDefault="00DD6B8D" w:rsidP="003D0D0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EC1427">
        <w:rPr>
          <w:rFonts w:ascii="Times New Roman" w:hAnsi="Times New Roman" w:cs="Times New Roman"/>
          <w:sz w:val="24"/>
          <w:szCs w:val="24"/>
        </w:rPr>
        <w:t>Senhores Vereadores</w:t>
      </w:r>
    </w:p>
    <w:p w:rsidR="00004CF6" w:rsidRDefault="00004CF6" w:rsidP="003D0D0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66019C" w:rsidRPr="00EC1427" w:rsidRDefault="0066019C" w:rsidP="003D0D0A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DD6B8D" w:rsidRPr="00375F15" w:rsidRDefault="00DD6B8D" w:rsidP="00004CF6">
      <w:pPr>
        <w:pStyle w:val="Textbody"/>
        <w:spacing w:after="0" w:line="36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1427">
        <w:rPr>
          <w:rFonts w:ascii="Times New Roman" w:hAnsi="Times New Roman" w:cs="Times New Roman"/>
          <w:sz w:val="24"/>
          <w:szCs w:val="24"/>
        </w:rPr>
        <w:t xml:space="preserve">O Projeto de Lei que ora colocamos a vossa apreciação objetiva obter </w:t>
      </w:r>
      <w:r w:rsidRPr="00375F15">
        <w:rPr>
          <w:rFonts w:ascii="Times New Roman" w:hAnsi="Times New Roman" w:cs="Times New Roman"/>
          <w:sz w:val="24"/>
          <w:szCs w:val="24"/>
        </w:rPr>
        <w:t xml:space="preserve">autorização para contratar operação de crédito junto ao BANCO DO BRASIL S.A., com a garantia da União, até o valor de R$30.000.000,00 (trinta milhões de reais), no âmbito do Programa Eficiência Municipal, nos termos da Resolução CMN nº 4.995, de 24.03.2022, e suas alterações, destinados </w:t>
      </w:r>
      <w:r w:rsidR="00375F15" w:rsidRPr="00375F15">
        <w:rPr>
          <w:rFonts w:ascii="Times New Roman" w:hAnsi="Times New Roman" w:cs="Times New Roman"/>
          <w:sz w:val="24"/>
          <w:szCs w:val="24"/>
        </w:rPr>
        <w:t>a investimentos nas áreas de infraestrutura e obras civis, mobilidade, urbanização, saneamento e aquisição de equipamentos</w:t>
      </w:r>
      <w:r w:rsidRPr="00375F15">
        <w:rPr>
          <w:rFonts w:ascii="Times New Roman" w:hAnsi="Times New Roman" w:cs="Times New Roman"/>
          <w:sz w:val="24"/>
          <w:szCs w:val="24"/>
        </w:rPr>
        <w:t>, observada a legislação vigente, em especial as disposições da Lei Complementar n° 101, de 04 de maio de 2000.</w:t>
      </w:r>
    </w:p>
    <w:p w:rsidR="00730200" w:rsidRDefault="00EC1427" w:rsidP="00004CF6">
      <w:pPr>
        <w:pStyle w:val="Textbody"/>
        <w:spacing w:after="0" w:line="36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75F15">
        <w:rPr>
          <w:rFonts w:ascii="Times New Roman" w:hAnsi="Times New Roman" w:cs="Times New Roman"/>
          <w:sz w:val="24"/>
          <w:szCs w:val="24"/>
        </w:rPr>
        <w:t>Com a aprovação e a efetivação do crédito junto à instituição financeira, será possibilitado ao município a continuidade da obra de ligação asfáltica até a barragem da Usina Hidrelétrica Foz do Chapeco Energia S.A. que é aguardada com entusiasmo pela população. O primeiro trecho dessa ligação asfáltica, que vai da sede da cidade até a Vila Encruzilhada Gaúcha, está em fase de conclusão e foi realizada exclusivamente</w:t>
      </w:r>
      <w:r w:rsidRPr="00EC1427">
        <w:rPr>
          <w:rFonts w:ascii="Times New Roman" w:hAnsi="Times New Roman" w:cs="Times New Roman"/>
          <w:sz w:val="24"/>
          <w:szCs w:val="24"/>
        </w:rPr>
        <w:t xml:space="preserve"> com recursos próprios do município. Para a </w:t>
      </w:r>
      <w:r>
        <w:rPr>
          <w:rFonts w:ascii="Times New Roman" w:hAnsi="Times New Roman" w:cs="Times New Roman"/>
          <w:sz w:val="24"/>
          <w:szCs w:val="24"/>
        </w:rPr>
        <w:t xml:space="preserve">continuidade dessa obra de ligação </w:t>
      </w:r>
      <w:r w:rsidRPr="00EC1427">
        <w:rPr>
          <w:rFonts w:ascii="Times New Roman" w:hAnsi="Times New Roman" w:cs="Times New Roman"/>
          <w:sz w:val="24"/>
          <w:szCs w:val="24"/>
        </w:rPr>
        <w:t>entendemos necessária a obtenção do crédito</w:t>
      </w:r>
      <w:r>
        <w:rPr>
          <w:rFonts w:ascii="Times New Roman" w:hAnsi="Times New Roman" w:cs="Times New Roman"/>
          <w:sz w:val="24"/>
          <w:szCs w:val="24"/>
        </w:rPr>
        <w:t xml:space="preserve">, com o objetivo </w:t>
      </w:r>
      <w:r w:rsidRPr="004667F1">
        <w:rPr>
          <w:rFonts w:ascii="Times New Roman" w:hAnsi="Times New Roman" w:cs="Times New Roman"/>
          <w:sz w:val="24"/>
          <w:szCs w:val="24"/>
        </w:rPr>
        <w:t xml:space="preserve">de não </w:t>
      </w:r>
      <w:r w:rsidR="008D5C98" w:rsidRPr="004667F1">
        <w:rPr>
          <w:rFonts w:ascii="Times New Roman" w:hAnsi="Times New Roman" w:cs="Times New Roman"/>
          <w:sz w:val="24"/>
          <w:szCs w:val="24"/>
        </w:rPr>
        <w:t xml:space="preserve">reprimir outros projetos </w:t>
      </w:r>
      <w:r w:rsidR="006B2101" w:rsidRPr="004667F1">
        <w:rPr>
          <w:rFonts w:ascii="Times New Roman" w:hAnsi="Times New Roman" w:cs="Times New Roman"/>
          <w:sz w:val="24"/>
          <w:szCs w:val="24"/>
        </w:rPr>
        <w:t>nas mais diversas áreas que poderão ser</w:t>
      </w:r>
      <w:r w:rsidRPr="004667F1">
        <w:rPr>
          <w:rFonts w:ascii="Times New Roman" w:hAnsi="Times New Roman" w:cs="Times New Roman"/>
          <w:sz w:val="24"/>
          <w:szCs w:val="24"/>
        </w:rPr>
        <w:t xml:space="preserve"> desenvolvidos pelo município.</w:t>
      </w:r>
    </w:p>
    <w:p w:rsidR="00730200" w:rsidRDefault="00F24BAC" w:rsidP="00004CF6">
      <w:pPr>
        <w:pStyle w:val="Textbody"/>
        <w:spacing w:after="0" w:line="36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7C3C">
        <w:rPr>
          <w:rFonts w:ascii="Times New Roman" w:hAnsi="Times New Roman" w:cs="Times New Roman"/>
          <w:sz w:val="24"/>
          <w:szCs w:val="24"/>
        </w:rPr>
        <w:t>Secretaria do Tesouro Nacional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C3C">
        <w:rPr>
          <w:rFonts w:ascii="Times New Roman" w:hAnsi="Times New Roman" w:cs="Times New Roman"/>
          <w:sz w:val="24"/>
          <w:szCs w:val="24"/>
        </w:rPr>
        <w:t xml:space="preserve">com base na Receita Corrente Líquida-RCL do município, </w:t>
      </w:r>
      <w:r>
        <w:rPr>
          <w:rFonts w:ascii="Times New Roman" w:hAnsi="Times New Roman" w:cs="Times New Roman"/>
          <w:sz w:val="24"/>
          <w:szCs w:val="24"/>
        </w:rPr>
        <w:t xml:space="preserve">define como limite de desembolso anual </w:t>
      </w:r>
      <w:r w:rsidR="00197C3C">
        <w:rPr>
          <w:rFonts w:ascii="Times New Roman" w:hAnsi="Times New Roman" w:cs="Times New Roman"/>
          <w:sz w:val="24"/>
          <w:szCs w:val="24"/>
        </w:rPr>
        <w:t>algo em torno de R$10.000.000 (dez milhões de reais), o que</w:t>
      </w:r>
      <w:r w:rsidR="00730200">
        <w:rPr>
          <w:rFonts w:ascii="Times New Roman" w:hAnsi="Times New Roman" w:cs="Times New Roman"/>
          <w:sz w:val="24"/>
          <w:szCs w:val="24"/>
        </w:rPr>
        <w:t xml:space="preserve"> deve ser gasto dentro do exercício para alcançar as demais parcelas autorizadas</w:t>
      </w:r>
      <w:r w:rsidR="00004CF6">
        <w:rPr>
          <w:rFonts w:ascii="Times New Roman" w:hAnsi="Times New Roman" w:cs="Times New Roman"/>
          <w:sz w:val="24"/>
          <w:szCs w:val="24"/>
        </w:rPr>
        <w:t xml:space="preserve">. Nesse </w:t>
      </w:r>
      <w:r w:rsidR="00730200">
        <w:rPr>
          <w:rFonts w:ascii="Times New Roman" w:hAnsi="Times New Roman" w:cs="Times New Roman"/>
          <w:sz w:val="24"/>
          <w:szCs w:val="24"/>
        </w:rPr>
        <w:t>sentido previmos</w:t>
      </w:r>
      <w:r w:rsidR="00730200" w:rsidRPr="004667F1">
        <w:rPr>
          <w:rFonts w:ascii="Times New Roman" w:hAnsi="Times New Roman" w:cs="Times New Roman"/>
          <w:sz w:val="24"/>
          <w:szCs w:val="24"/>
        </w:rPr>
        <w:t xml:space="preserve">, também, a possibilidade de investimento em outras áreas como forma de garantir a aplicação dos recursos desembolsados pela instituição financeira dentro do exercício, caso a obra de pavimentação apresente intercorrências na execução ou que ocorra o aporte financeiro </w:t>
      </w:r>
      <w:r w:rsidR="00375F15">
        <w:rPr>
          <w:rFonts w:ascii="Times New Roman" w:hAnsi="Times New Roman" w:cs="Times New Roman"/>
          <w:sz w:val="24"/>
          <w:szCs w:val="24"/>
        </w:rPr>
        <w:t>de outras esferas de governo n</w:t>
      </w:r>
      <w:r w:rsidR="00730200" w:rsidRPr="004667F1">
        <w:rPr>
          <w:rFonts w:ascii="Times New Roman" w:hAnsi="Times New Roman" w:cs="Times New Roman"/>
          <w:sz w:val="24"/>
          <w:szCs w:val="24"/>
        </w:rPr>
        <w:t xml:space="preserve">a obra. </w:t>
      </w:r>
    </w:p>
    <w:p w:rsidR="00004CF6" w:rsidRDefault="00004CF6" w:rsidP="00004CF6">
      <w:pPr>
        <w:pStyle w:val="Textbody"/>
        <w:spacing w:after="0" w:line="36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ponto é que do total contratado, incidirá o percentual de 1% (um por cento) a título de taxa que serão pagos na assinatura do contrato, então, depois de contratado devemos fazer todo e qualquer esforço pra investir o total das parcelas desembolsadas.</w:t>
      </w:r>
    </w:p>
    <w:p w:rsidR="00EC1427" w:rsidRDefault="00EC1427" w:rsidP="00004CF6">
      <w:pPr>
        <w:pStyle w:val="Textbody"/>
        <w:spacing w:after="0" w:line="36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67F1">
        <w:rPr>
          <w:rFonts w:ascii="Times New Roman" w:hAnsi="Times New Roman" w:cs="Times New Roman"/>
          <w:sz w:val="24"/>
          <w:szCs w:val="24"/>
        </w:rPr>
        <w:lastRenderedPageBreak/>
        <w:t>Importante mencionar qu</w:t>
      </w:r>
      <w:r w:rsidR="00612F67" w:rsidRPr="004667F1">
        <w:rPr>
          <w:rFonts w:ascii="Times New Roman" w:hAnsi="Times New Roman" w:cs="Times New Roman"/>
          <w:sz w:val="24"/>
          <w:szCs w:val="24"/>
        </w:rPr>
        <w:t xml:space="preserve">e foram avaliadas </w:t>
      </w:r>
      <w:r w:rsidRPr="004667F1">
        <w:rPr>
          <w:rFonts w:ascii="Times New Roman" w:hAnsi="Times New Roman" w:cs="Times New Roman"/>
          <w:sz w:val="24"/>
          <w:szCs w:val="24"/>
        </w:rPr>
        <w:t>proposta</w:t>
      </w:r>
      <w:r w:rsidR="00612F67" w:rsidRPr="004667F1">
        <w:rPr>
          <w:rFonts w:ascii="Times New Roman" w:hAnsi="Times New Roman" w:cs="Times New Roman"/>
          <w:sz w:val="24"/>
          <w:szCs w:val="24"/>
        </w:rPr>
        <w:t>s</w:t>
      </w:r>
      <w:r w:rsidRPr="004667F1">
        <w:rPr>
          <w:rFonts w:ascii="Times New Roman" w:hAnsi="Times New Roman" w:cs="Times New Roman"/>
          <w:sz w:val="24"/>
          <w:szCs w:val="24"/>
        </w:rPr>
        <w:t xml:space="preserve"> apresentada</w:t>
      </w:r>
      <w:r w:rsidR="009E70CD" w:rsidRPr="004667F1">
        <w:rPr>
          <w:rFonts w:ascii="Times New Roman" w:hAnsi="Times New Roman" w:cs="Times New Roman"/>
          <w:sz w:val="24"/>
          <w:szCs w:val="24"/>
        </w:rPr>
        <w:t>s por três</w:t>
      </w:r>
      <w:r w:rsidR="009E70CD">
        <w:rPr>
          <w:rFonts w:ascii="Times New Roman" w:hAnsi="Times New Roman" w:cs="Times New Roman"/>
          <w:sz w:val="24"/>
          <w:szCs w:val="24"/>
        </w:rPr>
        <w:t xml:space="preserve"> instituições financeiras oficiais (Caixa/Finisa, Badesul/Cidades e Banco do Brasil/Eficiência Municipal) e a do Banco </w:t>
      </w:r>
      <w:r w:rsidRPr="00EC1427">
        <w:rPr>
          <w:rFonts w:ascii="Times New Roman" w:hAnsi="Times New Roman" w:cs="Times New Roman"/>
          <w:sz w:val="24"/>
          <w:szCs w:val="24"/>
        </w:rPr>
        <w:t xml:space="preserve">do Brasil demonstrou-se a mais vantajosa para o </w:t>
      </w:r>
      <w:r w:rsidR="00467FB2" w:rsidRPr="00EC1427">
        <w:rPr>
          <w:rFonts w:ascii="Times New Roman" w:hAnsi="Times New Roman" w:cs="Times New Roman"/>
          <w:sz w:val="24"/>
          <w:szCs w:val="24"/>
        </w:rPr>
        <w:t>município</w:t>
      </w:r>
      <w:r w:rsidRPr="00EC1427">
        <w:rPr>
          <w:rFonts w:ascii="Times New Roman" w:hAnsi="Times New Roman" w:cs="Times New Roman"/>
          <w:sz w:val="24"/>
          <w:szCs w:val="24"/>
        </w:rPr>
        <w:t xml:space="preserve">, </w:t>
      </w:r>
      <w:r w:rsidR="009E70CD">
        <w:rPr>
          <w:rFonts w:ascii="Times New Roman" w:hAnsi="Times New Roman" w:cs="Times New Roman"/>
          <w:sz w:val="24"/>
          <w:szCs w:val="24"/>
        </w:rPr>
        <w:t>conforme demonstrada em processo administrativo autuado na prefeitura municipal.</w:t>
      </w:r>
    </w:p>
    <w:p w:rsidR="009E70CD" w:rsidRDefault="00467FB2" w:rsidP="00004CF6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 w:rsidRPr="005A4A25">
        <w:rPr>
          <w:rFonts w:ascii="Times New Roman" w:hAnsi="Times New Roman"/>
        </w:rPr>
        <w:t xml:space="preserve">Diante de sua clareza e importância, espera-se a aprovação unânime </w:t>
      </w:r>
      <w:r w:rsidR="00915BEA">
        <w:rPr>
          <w:rFonts w:ascii="Times New Roman" w:hAnsi="Times New Roman"/>
        </w:rPr>
        <w:t>e em regime de urgência do presente</w:t>
      </w:r>
      <w:r w:rsidRPr="005A4A25">
        <w:rPr>
          <w:rFonts w:ascii="Times New Roman" w:hAnsi="Times New Roman"/>
        </w:rPr>
        <w:t xml:space="preserve"> Projeto de Lei. </w:t>
      </w:r>
    </w:p>
    <w:p w:rsidR="009E70CD" w:rsidRDefault="009E70CD" w:rsidP="00004CF6">
      <w:pPr>
        <w:pStyle w:val="Recuodecorpodetexto"/>
        <w:spacing w:line="360" w:lineRule="auto"/>
        <w:ind w:firstLine="1416"/>
        <w:rPr>
          <w:rFonts w:ascii="Times New Roman" w:hAnsi="Times New Roman"/>
        </w:rPr>
      </w:pPr>
    </w:p>
    <w:p w:rsidR="00467FB2" w:rsidRPr="005A4A25" w:rsidRDefault="00467FB2" w:rsidP="00004CF6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 w:rsidRPr="005A4A25">
        <w:rPr>
          <w:rFonts w:ascii="Times New Roman" w:hAnsi="Times New Roman"/>
        </w:rPr>
        <w:t>Atenciosamente,</w:t>
      </w:r>
    </w:p>
    <w:p w:rsidR="00467FB2" w:rsidRDefault="00467FB2" w:rsidP="00467FB2">
      <w:pPr>
        <w:pStyle w:val="Recuodecorpodetexto"/>
        <w:ind w:firstLine="2124"/>
        <w:rPr>
          <w:rFonts w:ascii="Times New Roman" w:hAnsi="Times New Roman"/>
        </w:rPr>
      </w:pPr>
    </w:p>
    <w:p w:rsidR="00A92F1C" w:rsidRPr="005A4A25" w:rsidRDefault="00A92F1C" w:rsidP="00467FB2">
      <w:pPr>
        <w:pStyle w:val="Recuodecorpodetexto"/>
        <w:ind w:firstLine="2124"/>
        <w:rPr>
          <w:rFonts w:ascii="Times New Roman" w:hAnsi="Times New Roman"/>
        </w:rPr>
      </w:pPr>
    </w:p>
    <w:p w:rsidR="00467FB2" w:rsidRPr="005A4A25" w:rsidRDefault="00467FB2" w:rsidP="00467FB2">
      <w:pPr>
        <w:pStyle w:val="Corpodetex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467FB2" w:rsidRPr="00C104BD" w:rsidRDefault="00467FB2" w:rsidP="00467FB2">
      <w:pPr>
        <w:pStyle w:val="Corpodetexto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4A25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467FB2" w:rsidRPr="00C104BD" w:rsidSect="003603D0">
      <w:headerReference w:type="even" r:id="rId7"/>
      <w:headerReference w:type="first" r:id="rId8"/>
      <w:pgSz w:w="11906" w:h="16838"/>
      <w:pgMar w:top="2410" w:right="1077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52" w:rsidRDefault="00520952">
      <w:pPr>
        <w:spacing w:after="0" w:line="240" w:lineRule="auto"/>
      </w:pPr>
      <w:r>
        <w:separator/>
      </w:r>
    </w:p>
  </w:endnote>
  <w:endnote w:type="continuationSeparator" w:id="0">
    <w:p w:rsidR="00520952" w:rsidRDefault="0052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52" w:rsidRDefault="005209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0952" w:rsidRDefault="0052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FB" w:rsidRDefault="004250B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68935"/>
              <wp:effectExtent l="0" t="0" r="0" b="1206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42FB" w:rsidRPr="005E42FB" w:rsidRDefault="005E42FB" w:rsidP="005E42FB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2F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pt;margin-top:0;width:54.2pt;height:29.05pt;z-index:251657728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" filled="f" stroked="f">
              <v:path arrowok="t"/>
              <v:textbox style="mso-fit-shape-to-text:t" inset="0,15pt,20pt,0">
                <w:txbxContent>
                  <w:p w:rsidR="005E42FB" w:rsidRPr="005E42FB" w:rsidRDefault="005E42FB" w:rsidP="005E42FB">
                    <w:pPr>
                      <w:spacing w:after="0"/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2F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FB" w:rsidRDefault="004250B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68935"/>
              <wp:effectExtent l="0" t="0" r="0" b="1206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42FB" w:rsidRPr="005E42FB" w:rsidRDefault="005E42FB" w:rsidP="005E42FB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2FB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pt;margin-top:0;width:54.2pt;height:29.05pt;z-index:25165670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" filled="f" stroked="f">
              <v:path arrowok="t"/>
              <v:textbox style="mso-fit-shape-to-text:t" inset="0,15pt,20pt,0">
                <w:txbxContent>
                  <w:p w:rsidR="005E42FB" w:rsidRPr="005E42FB" w:rsidRDefault="005E42FB" w:rsidP="005E42FB">
                    <w:pPr>
                      <w:spacing w:after="0"/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2FB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336"/>
    <w:multiLevelType w:val="multilevel"/>
    <w:tmpl w:val="DB6200A2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93"/>
    <w:rsid w:val="00004CF6"/>
    <w:rsid w:val="00053136"/>
    <w:rsid w:val="00092520"/>
    <w:rsid w:val="000E38BA"/>
    <w:rsid w:val="00197C3C"/>
    <w:rsid w:val="001A74E5"/>
    <w:rsid w:val="00205AFC"/>
    <w:rsid w:val="00250EE4"/>
    <w:rsid w:val="0030163F"/>
    <w:rsid w:val="003603D0"/>
    <w:rsid w:val="0036695F"/>
    <w:rsid w:val="00375F15"/>
    <w:rsid w:val="003C3458"/>
    <w:rsid w:val="003D0D0A"/>
    <w:rsid w:val="004250BC"/>
    <w:rsid w:val="00461156"/>
    <w:rsid w:val="004667F1"/>
    <w:rsid w:val="00467FB2"/>
    <w:rsid w:val="00520952"/>
    <w:rsid w:val="00577178"/>
    <w:rsid w:val="005C34AF"/>
    <w:rsid w:val="005E42FB"/>
    <w:rsid w:val="00612F67"/>
    <w:rsid w:val="0066019C"/>
    <w:rsid w:val="006B2101"/>
    <w:rsid w:val="00713BD8"/>
    <w:rsid w:val="00730200"/>
    <w:rsid w:val="00755599"/>
    <w:rsid w:val="007D1540"/>
    <w:rsid w:val="007E77B6"/>
    <w:rsid w:val="008676C5"/>
    <w:rsid w:val="008D5C98"/>
    <w:rsid w:val="00915BEA"/>
    <w:rsid w:val="00920971"/>
    <w:rsid w:val="009E70CD"/>
    <w:rsid w:val="00A92F1C"/>
    <w:rsid w:val="00B86615"/>
    <w:rsid w:val="00BA48FD"/>
    <w:rsid w:val="00BC59EC"/>
    <w:rsid w:val="00BC6446"/>
    <w:rsid w:val="00DD6B8D"/>
    <w:rsid w:val="00E70346"/>
    <w:rsid w:val="00EC1427"/>
    <w:rsid w:val="00EF3203"/>
    <w:rsid w:val="00F03093"/>
    <w:rsid w:val="00F2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29130-A952-4E9F-A4A1-28FBE06A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BNDES">
    <w:name w:val="BNDES"/>
    <w:pPr>
      <w:tabs>
        <w:tab w:val="left" w:pos="1701"/>
      </w:tabs>
      <w:suppressAutoHyphens/>
      <w:autoSpaceDN w:val="0"/>
      <w:spacing w:before="120" w:after="120"/>
      <w:jc w:val="both"/>
      <w:textAlignment w:val="baseline"/>
    </w:pPr>
    <w:rPr>
      <w:rFonts w:ascii="Arial" w:eastAsia="Times New Roman" w:hAnsi="Arial" w:cs="Arial"/>
      <w:kern w:val="3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5E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2FB"/>
  </w:style>
  <w:style w:type="paragraph" w:styleId="Rodap">
    <w:name w:val="footer"/>
    <w:basedOn w:val="Normal"/>
    <w:link w:val="RodapChar"/>
    <w:uiPriority w:val="99"/>
    <w:unhideWhenUsed/>
    <w:rsid w:val="00BC6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446"/>
    <w:rPr>
      <w:kern w:val="3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467FB2"/>
    <w:pPr>
      <w:widowControl/>
      <w:autoSpaceDN/>
      <w:spacing w:after="120"/>
      <w:textAlignment w:val="auto"/>
    </w:pPr>
    <w:rPr>
      <w:rFonts w:eastAsia="Times New Roman"/>
      <w:kern w:val="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67FB2"/>
    <w:rPr>
      <w:rFonts w:eastAsia="Times New Roman"/>
      <w:sz w:val="22"/>
      <w:szCs w:val="22"/>
      <w:lang w:eastAsia="zh-CN"/>
    </w:rPr>
  </w:style>
  <w:style w:type="paragraph" w:styleId="Recuodecorpodetexto">
    <w:name w:val="Body Text Indent"/>
    <w:basedOn w:val="Normal"/>
    <w:link w:val="RecuodecorpodetextoChar"/>
    <w:rsid w:val="00467FB2"/>
    <w:pPr>
      <w:widowControl/>
      <w:autoSpaceDN/>
      <w:spacing w:after="0" w:line="240" w:lineRule="auto"/>
      <w:ind w:firstLine="1980"/>
      <w:jc w:val="both"/>
      <w:textAlignment w:val="auto"/>
    </w:pPr>
    <w:rPr>
      <w:rFonts w:ascii="Century Gothic" w:eastAsia="Times New Roman" w:hAnsi="Century Gothic" w:cs="Times New Roman"/>
      <w:kern w:val="0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467FB2"/>
    <w:rPr>
      <w:rFonts w:ascii="Century Gothic" w:eastAsia="Times New Roman" w:hAnsi="Century Gothic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FD"/>
    <w:rPr>
      <w:rFonts w:ascii="Segoe UI" w:hAnsi="Segoe UI" w:cs="Segoe UI"/>
      <w:kern w:val="3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APARECIDA ARGENTON</dc:creator>
  <cp:keywords/>
  <cp:lastModifiedBy>ADM 01</cp:lastModifiedBy>
  <cp:revision>30</cp:revision>
  <cp:lastPrinted>2025-02-05T10:43:00Z</cp:lastPrinted>
  <dcterms:created xsi:type="dcterms:W3CDTF">2025-02-04T13:22:00Z</dcterms:created>
  <dcterms:modified xsi:type="dcterms:W3CDTF">2025-02-05T10:58:00Z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Banco do Brasil S.A.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3f4cce97,7df4f75b,617c5743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#interna</vt:lpwstr>
  </property>
  <property fmtid="{D5CDD505-2E9C-101B-9397-08002B2CF9AE}" pid="12" name="MSIP_Label_40881dc9-f7f2-41de-a334-ceff3dc15b31_Enabled">
    <vt:lpwstr>true</vt:lpwstr>
  </property>
  <property fmtid="{D5CDD505-2E9C-101B-9397-08002B2CF9AE}" pid="13" name="MSIP_Label_40881dc9-f7f2-41de-a334-ceff3dc15b31_SetDate">
    <vt:lpwstr>2024-07-25T14:28:36Z</vt:lpwstr>
  </property>
  <property fmtid="{D5CDD505-2E9C-101B-9397-08002B2CF9AE}" pid="14" name="MSIP_Label_40881dc9-f7f2-41de-a334-ceff3dc15b31_Method">
    <vt:lpwstr>Standard</vt:lpwstr>
  </property>
  <property fmtid="{D5CDD505-2E9C-101B-9397-08002B2CF9AE}" pid="15" name="MSIP_Label_40881dc9-f7f2-41de-a334-ceff3dc15b31_Name">
    <vt:lpwstr>40881dc9-f7f2-41de-a334-ceff3dc15b31</vt:lpwstr>
  </property>
  <property fmtid="{D5CDD505-2E9C-101B-9397-08002B2CF9AE}" pid="16" name="MSIP_Label_40881dc9-f7f2-41de-a334-ceff3dc15b31_SiteId">
    <vt:lpwstr>ea0c2907-38d2-4181-8750-b0b190b60443</vt:lpwstr>
  </property>
  <property fmtid="{D5CDD505-2E9C-101B-9397-08002B2CF9AE}" pid="17" name="MSIP_Label_40881dc9-f7f2-41de-a334-ceff3dc15b31_ActionId">
    <vt:lpwstr>e034bbed-1d3a-4c03-aba2-5947a109357a</vt:lpwstr>
  </property>
  <property fmtid="{D5CDD505-2E9C-101B-9397-08002B2CF9AE}" pid="18" name="MSIP_Label_40881dc9-f7f2-41de-a334-ceff3dc15b31_ContentBits">
    <vt:lpwstr>1</vt:lpwstr>
  </property>
</Properties>
</file>