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7F" w:rsidRDefault="00974392">
      <w:pPr>
        <w:spacing w:after="16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032/20, DE 05 DE JUNHO DE 2020.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91E7F" w:rsidRDefault="00974392">
      <w:pPr>
        <w:spacing w:after="160" w:line="240" w:lineRule="auto"/>
        <w:ind w:left="4819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Altera a Lei Municipal n⁰ 2.203, de 28 de julho de 2017, que 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nstitui o Programa Municipal de Desenvolvimento das Propriedades Rurais da Agricultura Familiar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e dá outras providências.</w:t>
      </w:r>
    </w:p>
    <w:p w:rsidR="00791E7F" w:rsidRDefault="00974392">
      <w:pPr>
        <w:pStyle w:val="NormalWeb"/>
        <w:spacing w:before="0" w:after="0"/>
        <w:ind w:firstLine="1417"/>
        <w:jc w:val="both"/>
      </w:pPr>
      <w:proofErr w:type="gramStart"/>
      <w:r>
        <w:rPr>
          <w:rFonts w:ascii="Times New Roman" w:eastAsia="Times New Roman" w:hAnsi="Times New Roman" w:cs="Times New Roman"/>
          <w:b/>
          <w:bCs/>
        </w:rPr>
        <w:t xml:space="preserve">O </w:t>
      </w:r>
      <w:r>
        <w:rPr>
          <w:rFonts w:ascii="Times New Roman" w:eastAsia="Times New Roman" w:hAnsi="Times New Roman" w:cs="Times New Roman"/>
          <w:b/>
        </w:rPr>
        <w:t xml:space="preserve">PREFEITO </w:t>
      </w:r>
      <w:r>
        <w:rPr>
          <w:rFonts w:ascii="Times New Roman" w:eastAsia="Times New Roman" w:hAnsi="Times New Roman" w:cs="Times New Roman"/>
          <w:b/>
        </w:rPr>
        <w:t>MUNICIPAL DE ALPESTRE</w:t>
      </w:r>
      <w:r>
        <w:rPr>
          <w:rFonts w:ascii="Times New Roman" w:eastAsia="Times New Roman" w:hAnsi="Times New Roman" w:cs="Times New Roman"/>
        </w:rPr>
        <w:t xml:space="preserve">, Estado do Rio Grande do Sul, no uso de suas atribuições legais, delegadas pela Lei Orgânica Municipal, </w:t>
      </w:r>
      <w:r>
        <w:rPr>
          <w:rFonts w:ascii="Times New Roman" w:eastAsia="Times New Roman" w:hAnsi="Times New Roman" w:cs="Times New Roman"/>
          <w:b/>
          <w:bCs/>
        </w:rPr>
        <w:t>FAÇO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SABER, </w:t>
      </w:r>
      <w:r>
        <w:rPr>
          <w:rFonts w:ascii="Times New Roman" w:eastAsia="Times New Roman" w:hAnsi="Times New Roman" w:cs="Times New Roman"/>
        </w:rPr>
        <w:t xml:space="preserve">que a Câmara Municipal de Vereadores, </w:t>
      </w:r>
      <w:r>
        <w:rPr>
          <w:rFonts w:ascii="Times New Roman" w:eastAsia="Times New Roman" w:hAnsi="Times New Roman" w:cs="Times New Roman"/>
          <w:b/>
          <w:bCs/>
        </w:rPr>
        <w:t xml:space="preserve">APROVOU e eu PROMULGO e SANCIONO </w:t>
      </w:r>
      <w:r>
        <w:rPr>
          <w:rFonts w:ascii="Times New Roman" w:eastAsia="Times New Roman" w:hAnsi="Times New Roman" w:cs="Times New Roman"/>
        </w:rPr>
        <w:t xml:space="preserve">a seguinte </w:t>
      </w:r>
      <w:r>
        <w:rPr>
          <w:rFonts w:ascii="Times New Roman" w:eastAsia="Times New Roman" w:hAnsi="Times New Roman" w:cs="Times New Roman"/>
          <w:b/>
          <w:bCs/>
        </w:rPr>
        <w:t>LEI:</w:t>
      </w:r>
    </w:p>
    <w:p w:rsidR="00791E7F" w:rsidRDefault="00974392">
      <w:pPr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1⁰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⁰ e 6⁰ da </w:t>
      </w:r>
      <w:r>
        <w:rPr>
          <w:rFonts w:ascii="Times New Roman" w:eastAsia="Times New Roman" w:hAnsi="Times New Roman" w:cs="Times New Roman"/>
          <w:sz w:val="24"/>
          <w:szCs w:val="24"/>
        </w:rPr>
        <w:t>Lei Municipal n⁰ 2.203, de 28 de julho de 2017, que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nstitui o Programa Municipal de Desenvolvimento das Propriedades Rurais da Agricultura Familiar</w:t>
      </w:r>
      <w:r>
        <w:rPr>
          <w:rFonts w:ascii="Times New Roman" w:eastAsia="Times New Roman" w:hAnsi="Times New Roman" w:cs="Times New Roman"/>
          <w:sz w:val="24"/>
          <w:szCs w:val="24"/>
        </w:rPr>
        <w:t>, que passam a ter a seguinte redação:</w:t>
      </w:r>
    </w:p>
    <w:p w:rsidR="00791E7F" w:rsidRDefault="00974392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5º A Operacionalização do programa dar-se-á através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concessão de financiamento no valor equ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ivalente a 60% (sessenta por cento) do investimento o qual poderá ter rebate em caso de cumprimento integral dos objetivos e metas do projeto aprovado, com valores máximos e prazos de vencimento conforme segue: </w:t>
      </w:r>
    </w:p>
    <w:tbl>
      <w:tblPr>
        <w:tblW w:w="7545" w:type="dxa"/>
        <w:tblInd w:w="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55"/>
        <w:gridCol w:w="2161"/>
        <w:gridCol w:w="1980"/>
        <w:gridCol w:w="1649"/>
      </w:tblGrid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tividade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Limite Máximo do Investimento Incentivado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Limite Máximo do Financiamento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60%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Prazo Máximo do Financiamento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Videira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R$ 15.000,00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R$ 9.000,00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Citrus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R$ 3.600,00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Demais Frutíferas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2.400,00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Olericultura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R$ 1.800,00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Culturas Anuais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1.200,00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Agroindústria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R$ 10.000,00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R$ 6.000,00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Bovinocultura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R$ 6.000,00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R$ 3.600,00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Suinocultura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horas máquina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horas máquina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Avicultura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horas máquina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horas máquina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Piscicultura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horas máquina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horas máquina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Apicultura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R$ 2.500,00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R$ 1.500,00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  <w:tr w:rsidR="00791E7F">
        <w:trPr>
          <w:trHeight w:val="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Turismo Rural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R$ 3.000,00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R$ 1.800,00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1E7F" w:rsidRDefault="00974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anos</w:t>
            </w:r>
          </w:p>
        </w:tc>
      </w:tr>
    </w:tbl>
    <w:p w:rsidR="00791E7F" w:rsidRDefault="00974392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1º Revogado.</w:t>
      </w:r>
    </w:p>
    <w:p w:rsidR="00791E7F" w:rsidRDefault="00974392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2º A concessão do financiamento dar-se-á através da </w:t>
      </w:r>
      <w:r>
        <w:rPr>
          <w:rFonts w:ascii="Times New Roman" w:eastAsia="Times New Roman" w:hAnsi="Times New Roman" w:cs="Times New Roman"/>
          <w:sz w:val="24"/>
          <w:szCs w:val="24"/>
        </w:rPr>
        <w:t>apresentação de projeto contendo, no mínimo, três orçamentos, que serão avaliados por uma comissão técnica formada por profissionais da área, em que o grupo de agricultores terá a validação do orçamento que represente o menor preço final e atenda as exigên</w:t>
      </w:r>
      <w:r>
        <w:rPr>
          <w:rFonts w:ascii="Times New Roman" w:eastAsia="Times New Roman" w:hAnsi="Times New Roman" w:cs="Times New Roman"/>
          <w:sz w:val="24"/>
          <w:szCs w:val="24"/>
        </w:rPr>
        <w:t>cias estabelecidas em termos de qualidade e padrão para a atividade na qual o grupo será beneficiado.</w:t>
      </w:r>
    </w:p>
    <w:p w:rsidR="00791E7F" w:rsidRDefault="00974392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§ 3º Revogado.</w:t>
      </w:r>
    </w:p>
    <w:p w:rsidR="00791E7F" w:rsidRDefault="00974392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4º Os agricultores das categorias de bovinocultura, avicultura e suinocultura que desejarem realizar investimento diverso do proposto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tabela acima,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poderão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apresentar projeto técnico a ser analisado pelo Conselho Municipal de Desenvolvimento Rural, restando fixado em R$ 10.000,00 o limite máximo do valor de investimento incentivado e R$ 6.000,00 de financiamento para a bovinocultura e pa</w:t>
      </w:r>
      <w:r>
        <w:rPr>
          <w:rFonts w:ascii="Times New Roman" w:eastAsia="Times New Roman" w:hAnsi="Times New Roman" w:cs="Times New Roman"/>
          <w:sz w:val="24"/>
          <w:szCs w:val="24"/>
        </w:rPr>
        <w:t>ra suinocultura e de R$ 5.000,00 de limite de investimento incentivado e R$ 3.000,00 de financiamento para a piscicultura.</w:t>
      </w:r>
    </w:p>
    <w:p w:rsidR="00791E7F" w:rsidRDefault="00974392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6º É condição para a concessão do financiamento que os interessados comprovem o montante do investimento e assumam o compromisso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aplicação do valor não financiado, a título de contrapartida.                                                                                                      </w:t>
      </w:r>
    </w:p>
    <w:p w:rsidR="00791E7F" w:rsidRDefault="00974392">
      <w:pPr>
        <w:spacing w:after="0" w:line="240" w:lineRule="auto"/>
        <w:ind w:left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§ 1º Somente será concedido novo financiamento ao agricultor que comprovar, através de r</w:t>
      </w:r>
      <w:r>
        <w:rPr>
          <w:rFonts w:ascii="Times New Roman" w:eastAsia="Times New Roman" w:hAnsi="Times New Roman" w:cs="Times New Roman"/>
          <w:sz w:val="24"/>
          <w:szCs w:val="24"/>
        </w:rPr>
        <w:t>elatório assinado por técnico da área, que realizou a aplicação correta dos recursos na atividade, e mediante o comprovante de pagamento/depósito do valor de sua contrapartida no prazo estipulado no termo de obrigação assinado pelo beneficiário, bem como d</w:t>
      </w:r>
      <w:r>
        <w:rPr>
          <w:rFonts w:ascii="Times New Roman" w:eastAsia="Times New Roman" w:hAnsi="Times New Roman" w:cs="Times New Roman"/>
          <w:sz w:val="24"/>
          <w:szCs w:val="24"/>
        </w:rPr>
        <w:t>emonstre ter emitido as respectivas notas fiscais da venda do produto subsidiado.</w:t>
      </w:r>
    </w:p>
    <w:p w:rsidR="00791E7F" w:rsidRDefault="00974392">
      <w:pPr>
        <w:spacing w:after="0" w:line="240" w:lineRule="auto"/>
        <w:ind w:left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2º Em casos de inadimplência decorrentes de doença do beneficiário ou membro da família, bem c</w:t>
      </w:r>
      <w:r>
        <w:rPr>
          <w:rFonts w:ascii="Times New Roman" w:eastAsia="Times New Roman" w:hAnsi="Times New Roman" w:cs="Times New Roman"/>
          <w:sz w:val="24"/>
          <w:szCs w:val="24"/>
        </w:rPr>
        <w:t>omo em casos de frustração de safra devido a eventos climáticos extremos, pode</w:t>
      </w:r>
      <w:r>
        <w:rPr>
          <w:rFonts w:ascii="Times New Roman" w:eastAsia="Times New Roman" w:hAnsi="Times New Roman" w:cs="Times New Roman"/>
          <w:sz w:val="24"/>
          <w:szCs w:val="24"/>
        </w:rPr>
        <w:t>rá ocorrer renegociação da dívida com prévia avaliação do Conselho Municipal de Desenvolvimento Rural.</w:t>
      </w:r>
    </w:p>
    <w:p w:rsidR="00791E7F" w:rsidRDefault="00791E7F">
      <w:pPr>
        <w:spacing w:after="0" w:line="240" w:lineRule="auto"/>
        <w:ind w:left="1134"/>
        <w:jc w:val="both"/>
        <w:rPr>
          <w:rFonts w:eastAsia="Times New Roman" w:cs="Times New Roman"/>
        </w:rPr>
      </w:pPr>
    </w:p>
    <w:p w:rsidR="00791E7F" w:rsidRDefault="00974392">
      <w:pPr>
        <w:spacing w:after="16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2⁰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alterações desta lei se aplicarão aos incentivos concedidos a partir do ano de 2020.</w:t>
      </w:r>
    </w:p>
    <w:p w:rsidR="00791E7F" w:rsidRDefault="00974392">
      <w:pPr>
        <w:spacing w:after="16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Art. 3⁰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Revogadas as disposições em contrário, esta Lei </w:t>
      </w:r>
      <w:r>
        <w:rPr>
          <w:rFonts w:ascii="Times New Roman" w:eastAsia="Times New Roman" w:hAnsi="Times New Roman" w:cs="Times New Roman"/>
          <w:sz w:val="24"/>
          <w:szCs w:val="24"/>
        </w:rPr>
        <w:t>entra em vigor na data de sua publicação.</w:t>
      </w:r>
    </w:p>
    <w:p w:rsidR="00791E7F" w:rsidRDefault="00974392">
      <w:pPr>
        <w:spacing w:after="160" w:line="24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Gabinete do Prefeito de Alpestre, aos 05 dias do mês de junho de 2020.                                                                                                                            </w:t>
      </w:r>
    </w:p>
    <w:p w:rsidR="00791E7F" w:rsidRDefault="00791E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E7F" w:rsidRDefault="009743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VALDIR JOSÉ ZASSO</w:t>
      </w:r>
    </w:p>
    <w:p w:rsidR="00791E7F" w:rsidRDefault="009743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791E7F" w:rsidRDefault="00791E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1E7F" w:rsidRDefault="00791E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E7F" w:rsidRDefault="00791E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E7F" w:rsidRDefault="00791E7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1E7F" w:rsidRDefault="00974392">
      <w:pPr>
        <w:spacing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JUSTIFICATIVAS AO PROJETO DE LEI </w:t>
      </w:r>
    </w:p>
    <w:p w:rsidR="00791E7F" w:rsidRDefault="0097439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Senhor Presidente</w:t>
      </w:r>
    </w:p>
    <w:p w:rsidR="00791E7F" w:rsidRDefault="0079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1E7F" w:rsidRDefault="0097439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Senhores Vereadores 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 Projeto de Lei que ora colocamos a vossa apreciação, visa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lterar a Lei Municipal n⁰ 2.203, de 28 de julho de 2017, que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nstitui o Programa Municipal de Desenvolvimento das Propriedades Rurais da Agricultura Familiar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dá outras providências.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autorização visa alterar a forma de concessão do financiamento. O que antes era financiado o valor total do projeto aos agricultores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a mudança, será financiado somente o valor do que seria considerado “rebate”.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isso o produtor buscará alternativas para executar o projeto na íntegra, aportando recursos próprios ou buscando parcerias com instituições financeiras que possuem linh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de crédito para esse tipo de investimento agrícola. Isso feito e o projeto executado, o agricultor não assume compromisso de devolução de valores ao município como até então estava definido. 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prática pouco muda, porque ao invés do agricultor restituir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o erário municipal aplicará recursos próprios ou restituirá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instituições financeiras que lhe aportaram os recursos. O valor que o município “rebateria” continuará o mesmo se atendido e cumprido todas as demais regras do programa.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Essa medida é muit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importante para ajustar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valores de investimentos pelo Poder Executivo municipal em face da previsão de diminuição dos recursos por causa da retração econômica causada pela Pandemia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Coronavírus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-19) de repercussão mundial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Salientamos que cert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amente haverá, em todas as áreas,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replanejamento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orçamentário para a adequação à nova previsão da receita.</w:t>
      </w:r>
    </w:p>
    <w:p w:rsidR="00791E7F" w:rsidRDefault="00974392">
      <w:pPr>
        <w:suppressAutoHyphens/>
        <w:overflowPunct w:val="0"/>
        <w:spacing w:after="0" w:line="360" w:lineRule="auto"/>
        <w:ind w:firstLine="141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Sabemos da importância da continuidade do programa e para conseguirmos atender o que havíamos previsto optamos pela alteração do formato.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791E7F" w:rsidRDefault="00974392">
      <w:pPr>
        <w:suppressAutoHyphens/>
        <w:overflowPunct w:val="0"/>
        <w:spacing w:after="160" w:line="360" w:lineRule="auto"/>
        <w:ind w:firstLine="1417"/>
        <w:jc w:val="both"/>
      </w:pPr>
      <w:r>
        <w:rPr>
          <w:rFonts w:ascii="Times New Roman" w:hAnsi="Times New Roman"/>
          <w:sz w:val="24"/>
          <w:szCs w:val="24"/>
        </w:rPr>
        <w:t xml:space="preserve">Diante de sua importância e pertinência, espera-se a aprovação unânime deste Projeto de Lei.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91E7F" w:rsidRDefault="00974392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Atenciosamente,</w:t>
      </w:r>
    </w:p>
    <w:p w:rsidR="00791E7F" w:rsidRDefault="0097439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VALDIR JOSÉ ZASSO</w:t>
      </w:r>
    </w:p>
    <w:p w:rsidR="00791E7F" w:rsidRDefault="00974392">
      <w:pPr>
        <w:suppressAutoHyphens/>
        <w:overflowPunct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Prefeito Municipal </w:t>
      </w:r>
    </w:p>
    <w:sectPr w:rsidR="00791E7F" w:rsidSect="00791E7F">
      <w:pgSz w:w="11906" w:h="16838"/>
      <w:pgMar w:top="2355" w:right="1076" w:bottom="1418" w:left="175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E7F"/>
    <w:rsid w:val="00791E7F"/>
    <w:rsid w:val="00974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0A"/>
    <w:pPr>
      <w:spacing w:after="200" w:line="276" w:lineRule="auto"/>
    </w:pPr>
    <w:rPr>
      <w:rFonts w:ascii="Calibri" w:eastAsiaTheme="minorEastAsia" w:hAnsi="Calibri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791E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791E7F"/>
    <w:pPr>
      <w:spacing w:after="140"/>
    </w:pPr>
  </w:style>
  <w:style w:type="paragraph" w:styleId="Lista">
    <w:name w:val="List"/>
    <w:basedOn w:val="Corpodetexto"/>
    <w:rsid w:val="00791E7F"/>
    <w:rPr>
      <w:rFonts w:cs="Arial"/>
    </w:rPr>
  </w:style>
  <w:style w:type="paragraph" w:customStyle="1" w:styleId="Caption">
    <w:name w:val="Caption"/>
    <w:basedOn w:val="Normal"/>
    <w:qFormat/>
    <w:rsid w:val="00791E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91E7F"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791E7F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ESTUDIOA2</cp:lastModifiedBy>
  <cp:revision>2</cp:revision>
  <cp:lastPrinted>2020-06-05T15:25:00Z</cp:lastPrinted>
  <dcterms:created xsi:type="dcterms:W3CDTF">2020-06-13T12:33:00Z</dcterms:created>
  <dcterms:modified xsi:type="dcterms:W3CDTF">2020-06-13T12:33:00Z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