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F6" w:rsidRDefault="004A2E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084/19, DE 08</w:t>
      </w:r>
      <w:r w:rsidR="00FB3097">
        <w:rPr>
          <w:rFonts w:ascii="Times New Roman" w:hAnsi="Times New Roman"/>
          <w:b/>
          <w:sz w:val="24"/>
          <w:szCs w:val="24"/>
        </w:rPr>
        <w:t xml:space="preserve"> DE OUTUBRO DE 2019.</w:t>
      </w:r>
    </w:p>
    <w:p w:rsidR="00E342F6" w:rsidRDefault="00E342F6">
      <w:pPr>
        <w:ind w:left="2268" w:firstLine="15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342F6" w:rsidRDefault="00E342F6">
      <w:pPr>
        <w:overflowPunct w:val="0"/>
        <w:ind w:left="4819"/>
        <w:jc w:val="both"/>
        <w:textAlignment w:val="baseline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:rsidR="00E342F6" w:rsidRDefault="00FB3097">
      <w:pPr>
        <w:overflowPunct w:val="0"/>
        <w:ind w:left="4819"/>
        <w:jc w:val="both"/>
        <w:textAlignment w:val="baseline"/>
      </w:pPr>
      <w:r>
        <w:rPr>
          <w:rFonts w:ascii="Times New Roman" w:eastAsia="Times New Roman" w:hAnsi="Times New Roman" w:cs="Arial"/>
          <w:i/>
          <w:iCs/>
          <w:sz w:val="24"/>
          <w:szCs w:val="24"/>
        </w:rPr>
        <w:t>Cria o cargo de Auditor Fiscal da receita municipal e dá outras providências.</w:t>
      </w:r>
      <w:r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</w:p>
    <w:p w:rsidR="00E342F6" w:rsidRDefault="00E342F6">
      <w:pPr>
        <w:overflowPunct w:val="0"/>
        <w:ind w:left="4819"/>
        <w:jc w:val="both"/>
        <w:textAlignment w:val="baseline"/>
        <w:rPr>
          <w:rFonts w:ascii="Times New Roman" w:eastAsia="Times New Roman" w:hAnsi="Times New Roman" w:cs="Arial"/>
          <w:i/>
          <w:sz w:val="24"/>
          <w:szCs w:val="24"/>
        </w:rPr>
      </w:pPr>
    </w:p>
    <w:p w:rsidR="00E342F6" w:rsidRDefault="00E342F6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</w:p>
    <w:p w:rsidR="00E342F6" w:rsidRDefault="00FB3097">
      <w:pPr>
        <w:pStyle w:val="NormalWeb"/>
        <w:spacing w:beforeAutospacing="0" w:afterAutospacing="0"/>
        <w:ind w:right="119" w:firstLine="1440"/>
        <w:jc w:val="both"/>
        <w:rPr>
          <w:rFonts w:ascii="Times New Roman" w:hAnsi="Times New Roman"/>
        </w:rPr>
      </w:pPr>
      <w:bookmarkStart w:id="0" w:name="a1"/>
      <w:bookmarkEnd w:id="0"/>
      <w:r>
        <w:rPr>
          <w:rFonts w:ascii="Times New Roman" w:eastAsia="Times New Roman" w:hAnsi="Times New Roman" w:cs="Arial"/>
          <w:b/>
          <w:bCs/>
          <w:iCs/>
        </w:rPr>
        <w:t>O PREFEITO MUNICIPAL DE ALPESTRE</w:t>
      </w:r>
      <w:r>
        <w:rPr>
          <w:rFonts w:ascii="Times New Roman" w:eastAsia="Times New Roman" w:hAnsi="Times New Roman" w:cs="Arial"/>
          <w:iCs/>
        </w:rPr>
        <w:t xml:space="preserve">, Estado do Rio Grande do Sul, no uso de suas atribuições legais, delegadas pela Lei Orgânica Municipal, </w:t>
      </w:r>
      <w:r>
        <w:rPr>
          <w:rFonts w:ascii="Times New Roman" w:eastAsia="Times New Roman" w:hAnsi="Times New Roman" w:cs="Arial"/>
          <w:b/>
          <w:bCs/>
          <w:iCs/>
        </w:rPr>
        <w:t xml:space="preserve">FAZ SABER, </w:t>
      </w:r>
      <w:r>
        <w:rPr>
          <w:rFonts w:ascii="Times New Roman" w:eastAsia="Times New Roman" w:hAnsi="Times New Roman" w:cs="Arial"/>
          <w:iCs/>
        </w:rPr>
        <w:t xml:space="preserve">que a Câmara Municipal de Vereadores, </w:t>
      </w:r>
      <w:r>
        <w:rPr>
          <w:rFonts w:ascii="Times New Roman" w:eastAsia="Times New Roman" w:hAnsi="Times New Roman" w:cs="Arial"/>
          <w:b/>
          <w:bCs/>
          <w:iCs/>
        </w:rPr>
        <w:t xml:space="preserve">APROVOU e eu PROMULGO e SANCIONO </w:t>
      </w:r>
      <w:r>
        <w:rPr>
          <w:rFonts w:ascii="Times New Roman" w:eastAsia="Times New Roman" w:hAnsi="Times New Roman" w:cs="Arial"/>
          <w:iCs/>
        </w:rPr>
        <w:t xml:space="preserve">a seguinte </w:t>
      </w:r>
      <w:r>
        <w:rPr>
          <w:rFonts w:ascii="Times New Roman" w:eastAsia="Times New Roman" w:hAnsi="Times New Roman" w:cs="Arial"/>
          <w:b/>
          <w:bCs/>
          <w:iCs/>
        </w:rPr>
        <w:t>LEI:</w:t>
      </w:r>
    </w:p>
    <w:p w:rsidR="00E342F6" w:rsidRDefault="00E342F6">
      <w:pPr>
        <w:ind w:firstLine="1134"/>
        <w:jc w:val="both"/>
        <w:rPr>
          <w:rFonts w:ascii="Times New Roman" w:eastAsia="Times New Roman" w:hAnsi="Times New Roman" w:cs="Arial"/>
          <w:iCs/>
          <w:color w:val="666666"/>
          <w:sz w:val="24"/>
          <w:szCs w:val="24"/>
        </w:rPr>
      </w:pPr>
    </w:p>
    <w:p w:rsidR="00E342F6" w:rsidRDefault="00FB3097">
      <w:pPr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1º</w:t>
      </w:r>
      <w:r>
        <w:rPr>
          <w:rFonts w:ascii="Times New Roman" w:eastAsia="Times New Roman" w:hAnsi="Times New Roman" w:cs="Arial"/>
          <w:sz w:val="24"/>
          <w:szCs w:val="24"/>
        </w:rPr>
        <w:t xml:space="preserve"> É criado o cargo efetivo de Auditor Fiscal da receita municipal, no quadro de cargos efetivos do Município de que dispõe a </w:t>
      </w:r>
      <w:hyperlink r:id="rId4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Lei Municipal nº 774/95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e suas alterações, conforme descrito a seguir:                                                                       </w:t>
      </w:r>
    </w:p>
    <w:p w:rsidR="00E342F6" w:rsidRDefault="00E342F6">
      <w:pPr>
        <w:ind w:firstLine="1134"/>
        <w:jc w:val="both"/>
        <w:rPr>
          <w:rFonts w:eastAsia="Times New Roman" w:cs="Arial"/>
        </w:rPr>
      </w:pPr>
    </w:p>
    <w:tbl>
      <w:tblPr>
        <w:tblW w:w="8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559"/>
        <w:gridCol w:w="1419"/>
        <w:gridCol w:w="2094"/>
      </w:tblGrid>
      <w:tr w:rsidR="00E342F6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2F6" w:rsidRDefault="00FB3097">
            <w:pPr>
              <w:pStyle w:val="NormalWe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Denominação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2F6" w:rsidRDefault="00FB3097">
            <w:pPr>
              <w:pStyle w:val="NormalWeb"/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Nº Cargos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2F6" w:rsidRDefault="00FB3097">
            <w:pPr>
              <w:pStyle w:val="NormalWe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Padrão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2F6" w:rsidRDefault="00FB3097">
            <w:pPr>
              <w:pStyle w:val="NormalWe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Coeficiente de vencimento</w:t>
            </w:r>
          </w:p>
        </w:tc>
      </w:tr>
      <w:tr w:rsidR="00E342F6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2F6" w:rsidRDefault="00FB3097">
            <w:pPr>
              <w:pStyle w:val="Recuodecorpodetexto"/>
              <w:tabs>
                <w:tab w:val="right" w:pos="3646"/>
              </w:tabs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Auditor Fiscal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2F6" w:rsidRDefault="00FB3097">
            <w:pPr>
              <w:pStyle w:val="Recuodecorpodetexto"/>
              <w:snapToGri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2F6" w:rsidRDefault="00FB3097">
            <w:pPr>
              <w:pStyle w:val="Recuodecorpodetexto"/>
              <w:snapToGri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2F6" w:rsidRDefault="00FB3097">
            <w:pPr>
              <w:pStyle w:val="Recuodecorpodetexto"/>
              <w:snapToGri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</w:t>
            </w:r>
          </w:p>
        </w:tc>
      </w:tr>
    </w:tbl>
    <w:p w:rsidR="00E342F6" w:rsidRDefault="00E342F6">
      <w:pPr>
        <w:ind w:firstLine="1134"/>
        <w:jc w:val="both"/>
        <w:rPr>
          <w:rFonts w:eastAsia="Times New Roman" w:cs="Arial"/>
        </w:rPr>
      </w:pPr>
    </w:p>
    <w:p w:rsidR="00E342F6" w:rsidRDefault="00FB3097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Parágrafo único.</w:t>
      </w:r>
      <w:r>
        <w:rPr>
          <w:rFonts w:ascii="Times New Roman" w:eastAsia="Times New Roman" w:hAnsi="Times New Roman" w:cs="Arial"/>
          <w:sz w:val="24"/>
          <w:szCs w:val="24"/>
        </w:rPr>
        <w:t xml:space="preserve"> As atribuições e requisitos de provimento constam no Anexo I desta Lei.</w:t>
      </w:r>
    </w:p>
    <w:p w:rsidR="00E342F6" w:rsidRDefault="00E342F6">
      <w:pPr>
        <w:ind w:firstLine="1134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E342F6" w:rsidRDefault="00FB3097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2º</w:t>
      </w:r>
      <w:r>
        <w:rPr>
          <w:rFonts w:ascii="Times New Roman" w:eastAsia="Times New Roman" w:hAnsi="Times New Roman" w:cs="Arial"/>
          <w:sz w:val="24"/>
          <w:szCs w:val="24"/>
        </w:rPr>
        <w:t xml:space="preserve"> As despesas decorrentes desta Lei correrão por conta das dotações orçamentárias pertinentes da Lei de Meios vigente na Secretaria Municipal da Fazenda.</w:t>
      </w:r>
      <w:bookmarkStart w:id="1" w:name="a3"/>
      <w:bookmarkEnd w:id="1"/>
    </w:p>
    <w:p w:rsidR="00E342F6" w:rsidRDefault="00FB3097">
      <w:pPr>
        <w:ind w:firstLine="1134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</w:t>
      </w:r>
    </w:p>
    <w:p w:rsidR="00E342F6" w:rsidRDefault="00FB3097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3º</w:t>
      </w:r>
      <w:r>
        <w:rPr>
          <w:rFonts w:ascii="Times New Roman" w:eastAsia="Times New Roman" w:hAnsi="Times New Roman" w:cs="Arial"/>
          <w:sz w:val="24"/>
          <w:szCs w:val="24"/>
        </w:rPr>
        <w:t xml:space="preserve"> Revogadas as disposições em contrário, esta Lei entra em vigor na data de sua publicação.</w:t>
      </w:r>
    </w:p>
    <w:p w:rsidR="00E342F6" w:rsidRDefault="00E342F6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ind w:firstLine="14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Gabinete do Prefeit</w:t>
      </w:r>
      <w:r w:rsidR="004A2E66">
        <w:rPr>
          <w:rFonts w:ascii="Times New Roman" w:hAnsi="Times New Roman"/>
          <w:sz w:val="24"/>
          <w:szCs w:val="24"/>
        </w:rPr>
        <w:t>o Municipal de Alpestre, aos 08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dias do mês de outubro de 2019.</w:t>
      </w:r>
    </w:p>
    <w:p w:rsidR="00E342F6" w:rsidRDefault="00E342F6">
      <w:pPr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ind w:firstLine="14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342F6" w:rsidRDefault="00E342F6">
      <w:pPr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pStyle w:val="Ttulo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VALDIR JOSÉ ZASSO</w:t>
      </w:r>
    </w:p>
    <w:p w:rsidR="00E342F6" w:rsidRDefault="00FB3097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iCs/>
          <w:color w:val="000000"/>
          <w:sz w:val="24"/>
          <w:szCs w:val="24"/>
        </w:rPr>
        <w:t>Prefeito Municipal</w:t>
      </w: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E342F6" w:rsidRDefault="00FB30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</w:t>
      </w:r>
    </w:p>
    <w:p w:rsidR="00E342F6" w:rsidRDefault="00E342F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42F6" w:rsidRDefault="00E342F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42F6" w:rsidRDefault="00FB3097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ANEXO I                                                                              </w:t>
      </w:r>
    </w:p>
    <w:p w:rsidR="00E342F6" w:rsidRDefault="00FB309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ATRIBUIÇÕES DO CARGO    </w:t>
      </w:r>
    </w:p>
    <w:p w:rsidR="00E342F6" w:rsidRDefault="00E342F6">
      <w:pPr>
        <w:jc w:val="both"/>
        <w:rPr>
          <w:rFonts w:eastAsia="Times New Roman" w:cs="Arial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E342F6" w:rsidTr="00FB3097">
        <w:tc>
          <w:tcPr>
            <w:tcW w:w="1650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AUDITOR FISCAL</w:t>
            </w:r>
          </w:p>
        </w:tc>
      </w:tr>
      <w:tr w:rsidR="00E342F6" w:rsidTr="00FB3097">
        <w:tc>
          <w:tcPr>
            <w:tcW w:w="1650" w:type="dxa"/>
            <w:vMerge w:val="restart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en-US"/>
              </w:rPr>
              <w:t>Desempenhar as funções pertinentes da Administração Tributária; constituir o Crédito Tributário Municipal; exercer atividades de Auditoria Tributária Municipal; examinar recursos administrativos fiscais; efetuar diligências no sentido de orientar, fiscalizar e fazer cumprir as disposições legais aos contribuintes alcançados pela competência tributária municipal.</w:t>
            </w:r>
          </w:p>
        </w:tc>
      </w:tr>
      <w:tr w:rsidR="00E342F6" w:rsidTr="00FB3097">
        <w:tc>
          <w:tcPr>
            <w:tcW w:w="1650" w:type="dxa"/>
            <w:vMerge/>
            <w:shd w:val="clear" w:color="auto" w:fill="auto"/>
          </w:tcPr>
          <w:p w:rsidR="00E342F6" w:rsidRDefault="00E342F6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>
            <w:pPr>
              <w:jc w:val="both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en-US"/>
              </w:rPr>
              <w:t xml:space="preserve">Desincumbir-se das atribuições próprias da Administração Tributária Municipal; constituir o Crédito Tributário Municipal, mediante lançamento, inclusive por emissão eletrônica; proceder à sua revisão de ofício; homologar, aplicar as penalidades previstas na legislação e proceder à revisão das declarações efetuadas pelo sujeito passivo; controlar, executar, aperfeiçoar e realizar procedimentos de auditoria, diligência, perícia e fiscalização, objetivando verificar o cumprimento das obrigações tributárias do sujeito passivo, praticando todos os atos definidos na legislação específica, inclusive os relativos à busca e à apreensão de livros, documentos assemelhados; planejar, coordenar, supervisionar e exercer, observada a competência específica de outros órgãos, as atividades de repressão à sonegação fiscal, ocultação de bens, direitos e valores; conferir, analisar, aprovar, assinar e remeter ao contribuinte guias de ITBI; analisar, elaborar e proferir decisões, em processos administrativo-fiscais, nas respectivas esferas de competência, inclusive os relativos ao reconhecimento do direito creditório, à solicitação de retificação de declaração, à imunidade, a quaisquer formas de suspensão, exclusão e extinção de créditos tributários previstos na </w:t>
            </w:r>
            <w:hyperlink r:id="rId5">
              <w:r>
                <w:rPr>
                  <w:rStyle w:val="LinkdaInternet"/>
                  <w:rFonts w:ascii="Times New Roman" w:eastAsia="Times New Roman" w:hAnsi="Times New Roman" w:cs="Arial"/>
                  <w:color w:val="000000"/>
                  <w:sz w:val="20"/>
                  <w:szCs w:val="20"/>
                  <w:u w:val="none"/>
                  <w:lang w:eastAsia="en-US"/>
                </w:rPr>
                <w:t>l</w:t>
              </w:r>
            </w:hyperlink>
            <w:r>
              <w:rPr>
                <w:rStyle w:val="LinkdaInternet"/>
                <w:rFonts w:ascii="Times New Roman" w:eastAsia="Times New Roman" w:hAnsi="Times New Roman" w:cs="Arial"/>
                <w:color w:val="000000"/>
                <w:sz w:val="20"/>
                <w:szCs w:val="20"/>
                <w:u w:val="none"/>
                <w:lang w:eastAsia="en-US"/>
              </w:rPr>
              <w:t>egislação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en-US"/>
              </w:rPr>
              <w:t>; realizar a conferência e a inscrição de débitos vencidos e não pagos na Dívida Ativa antes do prazo prescricional; planejar, coordenar, supervisionar e controlar as atividades de fiscalização, arrecadação e de cobrança dos impostos, taxas e contribuições; estudar, pesquisar e emitir pareceres de caráter tributário, inclusive em processos de consulta; supervisionar o compartilhamento de cadastros e informações fiscais com as demais administrações tributárias da União, dos Estados e outros Municípios, mediante lei ou convênio; realizar pesquisa e investigação relacionadas às atividades de inteligência fiscal; coordenar, participar e implantar projetos, planos ou programas de interesse da Administração Tributária; atender denúncias pertinentes à legislação tributária municipal; fiscalizar Alvarás de Licença, realizar fiscalizações de rotina, notificar e emitir intimação quando necessário; dirigir veículos do Município quando necessário; Executar atividades afins.</w:t>
            </w:r>
          </w:p>
        </w:tc>
      </w:tr>
      <w:tr w:rsidR="00E342F6" w:rsidTr="00FB3097">
        <w:tc>
          <w:tcPr>
            <w:tcW w:w="1650" w:type="dxa"/>
            <w:vMerge w:val="restart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Carga horária semanal de 40 horas</w:t>
            </w:r>
          </w:p>
        </w:tc>
      </w:tr>
      <w:tr w:rsidR="00E342F6" w:rsidTr="00FB3097">
        <w:tc>
          <w:tcPr>
            <w:tcW w:w="1650" w:type="dxa"/>
            <w:vMerge/>
            <w:shd w:val="clear" w:color="auto" w:fill="auto"/>
          </w:tcPr>
          <w:p w:rsidR="00E342F6" w:rsidRDefault="00E342F6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en-US"/>
              </w:rPr>
              <w:t>O exercício do cargo poderá exigir a prestação de serviços fora do horário normal de trabalho.</w:t>
            </w:r>
          </w:p>
        </w:tc>
      </w:tr>
      <w:tr w:rsidR="00E342F6" w:rsidTr="00FB3097">
        <w:tc>
          <w:tcPr>
            <w:tcW w:w="1650" w:type="dxa"/>
            <w:vMerge w:val="restart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18 anos</w:t>
            </w:r>
          </w:p>
        </w:tc>
      </w:tr>
      <w:tr w:rsidR="00E342F6" w:rsidTr="00FB3097">
        <w:tc>
          <w:tcPr>
            <w:tcW w:w="1650" w:type="dxa"/>
            <w:vMerge/>
            <w:shd w:val="clear" w:color="auto" w:fill="auto"/>
          </w:tcPr>
          <w:p w:rsidR="00E342F6" w:rsidRDefault="00E342F6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 w:rsidP="00FB3097">
            <w:pPr>
              <w:jc w:val="both"/>
            </w:pPr>
            <w:r>
              <w:rPr>
                <w:rFonts w:ascii="Times New Roman" w:eastAsia="Calibri" w:hAnsi="Times New Roman" w:cs="Arial"/>
                <w:bCs/>
                <w:color w:val="000000"/>
                <w:sz w:val="20"/>
                <w:szCs w:val="22"/>
                <w:lang w:eastAsia="en-US"/>
              </w:rPr>
              <w:t xml:space="preserve">Ensino superior em Direito, Ciências Contábeis, Economia, Administração, Gestão Pública ou Tecnólogo de nível superior numa destas </w:t>
            </w:r>
            <w:proofErr w:type="gramStart"/>
            <w:r>
              <w:rPr>
                <w:rFonts w:ascii="Times New Roman" w:eastAsia="Calibri" w:hAnsi="Times New Roman" w:cs="Arial"/>
                <w:bCs/>
                <w:color w:val="000000"/>
                <w:sz w:val="20"/>
                <w:szCs w:val="22"/>
                <w:lang w:eastAsia="en-US"/>
              </w:rPr>
              <w:t xml:space="preserve">áreas.   </w:t>
            </w:r>
            <w:proofErr w:type="gramEnd"/>
            <w:r>
              <w:rPr>
                <w:rFonts w:ascii="Times New Roman" w:eastAsia="Calibri" w:hAnsi="Times New Roman" w:cs="Arial"/>
                <w:bCs/>
                <w:color w:val="000000"/>
                <w:sz w:val="20"/>
                <w:szCs w:val="22"/>
                <w:lang w:eastAsia="en-US"/>
              </w:rPr>
              <w:t xml:space="preserve">                                                 </w:t>
            </w:r>
          </w:p>
        </w:tc>
      </w:tr>
      <w:tr w:rsidR="00E342F6" w:rsidTr="00FB3097">
        <w:tc>
          <w:tcPr>
            <w:tcW w:w="1650" w:type="dxa"/>
            <w:vMerge/>
            <w:shd w:val="clear" w:color="auto" w:fill="auto"/>
          </w:tcPr>
          <w:p w:rsidR="00E342F6" w:rsidRDefault="00E342F6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E342F6" w:rsidRDefault="00FB30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Concurso Público</w:t>
            </w:r>
          </w:p>
        </w:tc>
      </w:tr>
    </w:tbl>
    <w:p w:rsidR="00E342F6" w:rsidRDefault="00E342F6">
      <w:pPr>
        <w:jc w:val="both"/>
        <w:rPr>
          <w:rFonts w:eastAsia="Times New Roman" w:cs="Arial"/>
          <w:b/>
          <w:bCs/>
        </w:rPr>
      </w:pPr>
    </w:p>
    <w:p w:rsidR="00E342F6" w:rsidRDefault="00FB3097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342F6" w:rsidRDefault="00E342F6">
      <w:pPr>
        <w:rPr>
          <w:rFonts w:ascii="Times New Roman" w:hAnsi="Times New Roman"/>
          <w:sz w:val="24"/>
          <w:szCs w:val="24"/>
        </w:rPr>
      </w:pPr>
    </w:p>
    <w:p w:rsidR="00E342F6" w:rsidRDefault="00E342F6">
      <w:pPr>
        <w:rPr>
          <w:rFonts w:ascii="Times New Roman" w:hAnsi="Times New Roman"/>
          <w:sz w:val="24"/>
          <w:szCs w:val="24"/>
        </w:rPr>
      </w:pPr>
    </w:p>
    <w:p w:rsidR="00E342F6" w:rsidRDefault="00E342F6">
      <w:pPr>
        <w:rPr>
          <w:rFonts w:ascii="Times New Roman" w:hAnsi="Times New Roman"/>
          <w:sz w:val="24"/>
          <w:szCs w:val="24"/>
        </w:rPr>
      </w:pPr>
    </w:p>
    <w:p w:rsidR="00E342F6" w:rsidRDefault="00E342F6">
      <w:pPr>
        <w:jc w:val="both"/>
        <w:rPr>
          <w:rFonts w:eastAsia="Times New Roman" w:cs="Arial"/>
        </w:rPr>
      </w:pPr>
    </w:p>
    <w:p w:rsidR="00E342F6" w:rsidRDefault="00FB3097">
      <w:pPr>
        <w:jc w:val="center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JUSTIFICATIVAS AO PROJETO DE LEI</w:t>
      </w:r>
    </w:p>
    <w:p w:rsidR="00E342F6" w:rsidRDefault="00E342F6">
      <w:pPr>
        <w:jc w:val="center"/>
        <w:rPr>
          <w:rFonts w:eastAsia="Times New Roman" w:cs="Arial"/>
        </w:rPr>
      </w:pPr>
    </w:p>
    <w:p w:rsidR="00E342F6" w:rsidRDefault="00E342F6">
      <w:pPr>
        <w:jc w:val="center"/>
        <w:rPr>
          <w:rFonts w:eastAsia="Times New Roman" w:cs="Arial"/>
        </w:rPr>
      </w:pPr>
    </w:p>
    <w:p w:rsidR="00E342F6" w:rsidRDefault="00FB3097">
      <w:pPr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</w:t>
      </w:r>
    </w:p>
    <w:p w:rsidR="00E342F6" w:rsidRDefault="00E342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Senhores Vereadores</w:t>
      </w:r>
    </w:p>
    <w:p w:rsidR="00E342F6" w:rsidRDefault="00E342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2F6" w:rsidRDefault="00FB3097" w:rsidP="00FB3097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O Projeto de Lei que ora colocamos a vossa apreciação, objetiva                                                                                                                                          criar o cargo de Auditor Fiscal da Receita Municipal no quadro de carreira do quadro geral de que trata a Lei Municipal nº774/95 e suas alterações.</w:t>
      </w:r>
    </w:p>
    <w:p w:rsidR="00E342F6" w:rsidRDefault="00E342F6" w:rsidP="00FB3097">
      <w:pPr>
        <w:spacing w:line="360" w:lineRule="auto"/>
        <w:ind w:firstLine="1416"/>
        <w:jc w:val="both"/>
        <w:rPr>
          <w:rFonts w:eastAsia="Times New Roman" w:cs="Arial"/>
        </w:rPr>
      </w:pPr>
    </w:p>
    <w:p w:rsidR="00E342F6" w:rsidRDefault="00FB3097" w:rsidP="00FB3097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Este cargo que ora pretendemos instituir é um cargo de nível superior que deverá ser provido por concurso público e é imprescindível para a direção e coordenação da Administração Tributária Municipal, a qual está sendo tratada em projeto de Lei específico.</w:t>
      </w:r>
    </w:p>
    <w:p w:rsidR="00E342F6" w:rsidRDefault="00E342F6" w:rsidP="00FB3097">
      <w:pPr>
        <w:spacing w:line="360" w:lineRule="auto"/>
        <w:ind w:firstLine="1416"/>
        <w:jc w:val="both"/>
        <w:rPr>
          <w:rFonts w:eastAsia="Times New Roman" w:cs="Arial"/>
        </w:rPr>
      </w:pPr>
    </w:p>
    <w:p w:rsidR="00E342F6" w:rsidRDefault="00FB3097" w:rsidP="00FB3097">
      <w:pPr>
        <w:spacing w:line="360" w:lineRule="auto"/>
        <w:ind w:firstLine="1416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>O TCE/RS vem cobrando dos municípios, sob sua jurisdição, a implantação da administração tributária e o provimento de cargo de nível superior para a direção e coordenação das ações relativas.</w:t>
      </w:r>
    </w:p>
    <w:p w:rsidR="00E342F6" w:rsidRDefault="00E342F6" w:rsidP="00FB3097">
      <w:pPr>
        <w:spacing w:line="360" w:lineRule="auto"/>
        <w:ind w:firstLine="1416"/>
        <w:jc w:val="both"/>
        <w:rPr>
          <w:rFonts w:eastAsia="Times New Roman" w:cs="Arial"/>
        </w:rPr>
      </w:pPr>
    </w:p>
    <w:p w:rsidR="00E342F6" w:rsidRDefault="00FB3097" w:rsidP="00FB3097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Embora o município de Alpestre possua ocupado cargos de fiscais, e estes detentores de níveis superiores na área, o entendimento é que a administração tributária seja coordenada por cargo criado e provido já com o nível de instrução superior.</w:t>
      </w:r>
    </w:p>
    <w:p w:rsidR="00E342F6" w:rsidRDefault="00FB3097" w:rsidP="00FB3097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342F6" w:rsidRDefault="00FB3097">
      <w:pPr>
        <w:pStyle w:val="Corpodetexto"/>
        <w:widowControl w:val="0"/>
        <w:suppressAutoHyphens/>
        <w:spacing w:after="120" w:line="288" w:lineRule="auto"/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Diante de sua importância, espera-se a aprovação unânime do presente projeto de Lei.</w:t>
      </w:r>
    </w:p>
    <w:p w:rsidR="00E342F6" w:rsidRDefault="00E342F6">
      <w:pPr>
        <w:ind w:left="698" w:right="-198" w:firstLine="720"/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ind w:left="698" w:right="-198" w:firstLine="720"/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pPr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E342F6" w:rsidRDefault="00E342F6">
      <w:pPr>
        <w:ind w:right="-198"/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ind w:right="-198"/>
        <w:jc w:val="both"/>
        <w:rPr>
          <w:rFonts w:ascii="Times New Roman" w:hAnsi="Times New Roman"/>
          <w:sz w:val="24"/>
          <w:szCs w:val="24"/>
        </w:rPr>
      </w:pPr>
    </w:p>
    <w:p w:rsidR="00E342F6" w:rsidRDefault="00E342F6">
      <w:pPr>
        <w:ind w:right="-198"/>
        <w:jc w:val="center"/>
        <w:rPr>
          <w:rFonts w:ascii="Times New Roman" w:hAnsi="Times New Roman"/>
          <w:sz w:val="24"/>
          <w:szCs w:val="24"/>
        </w:rPr>
      </w:pPr>
    </w:p>
    <w:p w:rsidR="00E342F6" w:rsidRDefault="00FB3097">
      <w:pPr>
        <w:widowControl w:val="0"/>
        <w:ind w:right="-198"/>
        <w:jc w:val="center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VALDIR JOSÉ ZASSO</w:t>
      </w:r>
    </w:p>
    <w:p w:rsidR="00E342F6" w:rsidRDefault="00FB3097">
      <w:pPr>
        <w:widowControl w:val="0"/>
        <w:spacing w:line="276" w:lineRule="auto"/>
        <w:ind w:right="-198"/>
        <w:jc w:val="center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 w:cs="Arial"/>
          <w:sz w:val="24"/>
          <w:szCs w:val="24"/>
          <w:lang w:val="pt"/>
        </w:rPr>
        <w:t>Prefeito Municipal</w:t>
      </w:r>
    </w:p>
    <w:p w:rsidR="00E342F6" w:rsidRDefault="00FB30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br/>
      </w:r>
    </w:p>
    <w:p w:rsidR="00E342F6" w:rsidRDefault="00E342F6">
      <w:pPr>
        <w:jc w:val="both"/>
        <w:rPr>
          <w:rFonts w:ascii="Times New Roman" w:hAnsi="Times New Roman"/>
          <w:sz w:val="24"/>
          <w:szCs w:val="24"/>
        </w:rPr>
      </w:pPr>
    </w:p>
    <w:p w:rsidR="00E342F6" w:rsidRDefault="00FB3097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sectPr w:rsidR="00E342F6">
      <w:pgSz w:w="11906" w:h="16838"/>
      <w:pgMar w:top="2370" w:right="1076" w:bottom="1028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F6"/>
    <w:rsid w:val="004A2E66"/>
    <w:rsid w:val="00E342F6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5E06C-4243-4F36-94EC-12ADA4B5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37"/>
    <w:rPr>
      <w:rFonts w:ascii="Verdana" w:eastAsia="Verdana" w:hAnsi="Verdana" w:cs="Times New Roman"/>
      <w:sz w:val="15"/>
      <w:szCs w:val="16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FC5137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Times New Roman" w:hAnsi="Arial" w:cs="Arial"/>
      <w:sz w:val="24"/>
      <w:szCs w:val="24"/>
    </w:rPr>
  </w:style>
  <w:style w:type="character" w:customStyle="1" w:styleId="ListLabel2">
    <w:name w:val="ListLabel 2"/>
    <w:qFormat/>
    <w:rPr>
      <w:rFonts w:ascii="Arial" w:eastAsia="Times New Roman" w:hAnsi="Arial" w:cs="Arial"/>
      <w:sz w:val="18"/>
      <w:szCs w:val="18"/>
    </w:rPr>
  </w:style>
  <w:style w:type="character" w:customStyle="1" w:styleId="ListLabel3">
    <w:name w:val="ListLabel 3"/>
    <w:qFormat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eastAsia="Times New Roman" w:hAnsi="Times New Roman" w:cs="Arial"/>
      <w:color w:val="000000"/>
      <w:sz w:val="20"/>
      <w:szCs w:val="20"/>
      <w:u w:val="none"/>
      <w:lang w:eastAsia="en-US" w:bidi="ar-SA"/>
    </w:rPr>
  </w:style>
  <w:style w:type="character" w:customStyle="1" w:styleId="ListLabel5">
    <w:name w:val="ListLabel 5"/>
    <w:qFormat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eastAsia="Times New Roman" w:hAnsi="Times New Roman" w:cs="Arial"/>
      <w:color w:val="000000"/>
      <w:sz w:val="20"/>
      <w:szCs w:val="20"/>
      <w:u w:val="none"/>
      <w:lang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E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E66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5172.htm" TargetMode="External"/><Relationship Id="rId4" Type="http://schemas.openxmlformats.org/officeDocument/2006/relationships/hyperlink" Target="visualizarDiploma.php?cdMunicipio=7431&amp;cdDiploma=1993118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10</cp:revision>
  <cp:lastPrinted>2019-10-09T13:16:00Z</cp:lastPrinted>
  <dcterms:created xsi:type="dcterms:W3CDTF">2019-09-24T18:45:00Z</dcterms:created>
  <dcterms:modified xsi:type="dcterms:W3CDTF">2019-10-09T13:17:00Z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