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5CD" w:rsidRPr="000B4070" w:rsidRDefault="000B4070" w:rsidP="000B407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PROJETO DE LEI Nº </w:t>
      </w:r>
      <w:r w:rsidR="00461D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0</w:t>
      </w:r>
      <w:r w:rsidR="00C577C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/</w:t>
      </w:r>
      <w:r w:rsidR="000275CD" w:rsidRPr="000B40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, DE </w:t>
      </w:r>
      <w:r w:rsidR="00627F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07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 DE </w:t>
      </w:r>
      <w:r w:rsidR="00627FE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AGOSTO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 xml:space="preserve"> DE 2026.</w:t>
      </w:r>
    </w:p>
    <w:p w:rsidR="00FF45DA" w:rsidRPr="000B4070" w:rsidRDefault="00FF45DA" w:rsidP="00FF45D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0275CD" w:rsidRPr="00627FED" w:rsidRDefault="006209FA" w:rsidP="00627FE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bCs/>
          <w:i/>
          <w:sz w:val="23"/>
          <w:szCs w:val="23"/>
          <w:lang w:eastAsia="pt-BR"/>
        </w:rPr>
        <w:t xml:space="preserve">Altera a </w:t>
      </w:r>
      <w:r w:rsidRPr="00627FED">
        <w:rPr>
          <w:rFonts w:ascii="Times New Roman" w:eastAsia="Times New Roman" w:hAnsi="Times New Roman" w:cs="Times New Roman"/>
          <w:i/>
          <w:sz w:val="23"/>
          <w:szCs w:val="23"/>
          <w:lang w:eastAsia="pt-BR"/>
        </w:rPr>
        <w:t>Lei Municipal nº 3.023 de 29 de julho de 2026, que d</w:t>
      </w:r>
      <w:r w:rsidR="000275CD" w:rsidRPr="00627FED">
        <w:rPr>
          <w:rFonts w:ascii="Times New Roman" w:eastAsia="Times New Roman" w:hAnsi="Times New Roman" w:cs="Times New Roman"/>
          <w:bCs/>
          <w:i/>
          <w:sz w:val="23"/>
          <w:szCs w:val="23"/>
          <w:lang w:eastAsia="pt-BR"/>
        </w:rPr>
        <w:t xml:space="preserve">ispõe sobre a concessão </w:t>
      </w:r>
      <w:r w:rsidR="00A14768" w:rsidRPr="00627FED">
        <w:rPr>
          <w:rFonts w:ascii="Times New Roman" w:eastAsia="Times New Roman" w:hAnsi="Times New Roman" w:cs="Times New Roman"/>
          <w:bCs/>
          <w:i/>
          <w:sz w:val="23"/>
          <w:szCs w:val="23"/>
          <w:lang w:eastAsia="pt-BR"/>
        </w:rPr>
        <w:t xml:space="preserve">e </w:t>
      </w:r>
      <w:r w:rsidR="00A14768" w:rsidRPr="00627FED">
        <w:rPr>
          <w:rStyle w:val="nfase"/>
          <w:rFonts w:ascii="Times New Roman" w:hAnsi="Times New Roman" w:cs="Times New Roman"/>
          <w:i w:val="0"/>
          <w:color w:val="000000"/>
          <w:sz w:val="23"/>
          <w:szCs w:val="23"/>
        </w:rPr>
        <w:t xml:space="preserve">o recebimento </w:t>
      </w:r>
      <w:r w:rsidR="000275CD" w:rsidRPr="00627FED">
        <w:rPr>
          <w:rFonts w:ascii="Times New Roman" w:eastAsia="Times New Roman" w:hAnsi="Times New Roman" w:cs="Times New Roman"/>
          <w:bCs/>
          <w:i/>
          <w:sz w:val="23"/>
          <w:szCs w:val="23"/>
          <w:lang w:eastAsia="pt-BR"/>
        </w:rPr>
        <w:t>de patrocínio pelo Poder Executivo do Município de Alpestre/RS, estabelece normas para sua concessão, aplicação dos recursos, fiscalização e prestação de contas e dá outras providências.</w:t>
      </w:r>
    </w:p>
    <w:p w:rsidR="00C108C7" w:rsidRPr="00627FED" w:rsidRDefault="00C108C7" w:rsidP="00627FED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i/>
          <w:sz w:val="23"/>
          <w:szCs w:val="23"/>
          <w:lang w:eastAsia="pt-BR"/>
        </w:rPr>
      </w:pPr>
    </w:p>
    <w:p w:rsidR="000275CD" w:rsidRPr="00627FED" w:rsidRDefault="000275CD" w:rsidP="00627FED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Art. 1º</w:t>
      </w: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490754"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A Lei Municipal nº 3.023 de 29 de julho de 2026, que dispõe sobre a concessão e </w:t>
      </w:r>
      <w:r w:rsidR="00490754" w:rsidRPr="00627FED">
        <w:rPr>
          <w:rFonts w:eastAsia="Times New Roman"/>
          <w:iCs/>
          <w:sz w:val="23"/>
          <w:szCs w:val="23"/>
          <w:lang w:eastAsia="pt-BR"/>
        </w:rPr>
        <w:t>o recebimento</w:t>
      </w:r>
      <w:r w:rsidR="00490754" w:rsidRPr="00627FED">
        <w:rPr>
          <w:rFonts w:eastAsia="Times New Roman"/>
          <w:i/>
          <w:iCs/>
          <w:sz w:val="23"/>
          <w:szCs w:val="23"/>
          <w:lang w:eastAsia="pt-BR"/>
        </w:rPr>
        <w:t xml:space="preserve"> </w:t>
      </w:r>
      <w:r w:rsidR="00490754"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>de patrocínio pelo Poder Executivo do Município de Alpestre/RS, estabelece normas para sua concessão, aplicação dos recursos, fiscalização e prestação de contas e dá outras providências, passa a vigorar com as seguintes alterações:</w:t>
      </w:r>
    </w:p>
    <w:p w:rsidR="00490754" w:rsidRPr="00627FED" w:rsidRDefault="00490754" w:rsidP="00627FED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Art. 11.</w:t>
      </w: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A liberação dos recursos poderá ocorrer em parcela única ou em parcelas, conforme previsto na proposta e no Contrato de Patrocínio, observados os limites máximos de concessão por evento constantes do Anexo Único desta Lei.</w:t>
      </w:r>
    </w:p>
    <w:p w:rsidR="00490754" w:rsidRPr="00627FED" w:rsidRDefault="00490754" w:rsidP="00627FED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§ 1º</w:t>
      </w: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Poderá ser autorizada a liberação antecipada de até 100% (cem por cento) do valor do patrocínio quando demonstrada sua necessidade para a execução do objeto, especialmente para custeio de despesas indispensáveis à realização do evento ou projeto, mediante justificativa da Secretaria competente.</w:t>
      </w:r>
    </w:p>
    <w:p w:rsidR="00490754" w:rsidRPr="00627FED" w:rsidRDefault="00490754" w:rsidP="00627FED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§ 2º</w:t>
      </w: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A liberação dos recursos fica condicionada à assinatura do Contrato de Patrocínio e à abertura de conta bancária específica de titularidade do patrocinado, destinada exclusivamente à movimentação dos recursos do patrocínio.</w:t>
      </w:r>
    </w:p>
    <w:p w:rsidR="00490754" w:rsidRPr="00627FED" w:rsidRDefault="00490754" w:rsidP="00627FED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§ 3º</w:t>
      </w: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Os valores constantes do Anexo Único desta Lei constituem limites máximos de referência para concessão de patrocínio, não assegurando direito subjetivo à obtenção do valor máximo, ficando a concessão condicionada ao interesse público, à disponibilidade orçamentária, à análise técnica da Administração Municipal e ao cumprimento dos demais requisitos previstos nesta Lei e em seu regulamento.</w:t>
      </w:r>
    </w:p>
    <w:p w:rsidR="00490754" w:rsidRPr="00627FED" w:rsidRDefault="00490754" w:rsidP="00627FED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§ 4º</w:t>
      </w: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O enquadramento do evento nas categorias e abrangências territoriais previstas no Anexo Único será realizado pela Secretaria Municipal competente, conforme critérios estabelecidos em regulamento.</w:t>
      </w:r>
    </w:p>
    <w:p w:rsidR="00490754" w:rsidRPr="00627FED" w:rsidRDefault="00490754" w:rsidP="00627FED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§ 5º</w:t>
      </w: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Os valores constantes do Anexo Único poderão ser atualizados por Decreto do Poder Executivo, utilizando-se o Índice Nacional de Preços ao Consumidor Amplo – IPCA, ou outro índice oficial que venha a substituí-lo.</w:t>
      </w:r>
    </w:p>
    <w:p w:rsidR="00CC4D5D" w:rsidRPr="00627FED" w:rsidRDefault="00CC4D5D" w:rsidP="00627FED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hAnsi="Times New Roman" w:cs="Times New Roman"/>
          <w:sz w:val="23"/>
          <w:szCs w:val="23"/>
        </w:rPr>
        <w:t>§ 6º A concessão de patrocínio em valor superior aos limites previstos no Anexo Único desta Lei somente poderá ocorrer mediante</w:t>
      </w:r>
      <w:r w:rsidR="00FA7370" w:rsidRPr="00627FED">
        <w:rPr>
          <w:rFonts w:ascii="Times New Roman" w:hAnsi="Times New Roman" w:cs="Times New Roman"/>
          <w:sz w:val="23"/>
          <w:szCs w:val="23"/>
        </w:rPr>
        <w:t xml:space="preserve"> autorização em lei específica.</w:t>
      </w:r>
    </w:p>
    <w:p w:rsidR="00490754" w:rsidRPr="00627FED" w:rsidRDefault="00490754" w:rsidP="00627FED">
      <w:pPr>
        <w:pStyle w:val="Ttulo3"/>
        <w:spacing w:before="0" w:line="240" w:lineRule="auto"/>
        <w:ind w:firstLine="1418"/>
        <w:jc w:val="both"/>
        <w:rPr>
          <w:rFonts w:ascii="Times New Roman" w:hAnsi="Times New Roman" w:cs="Times New Roman"/>
          <w:b/>
          <w:color w:val="auto"/>
          <w:sz w:val="23"/>
          <w:szCs w:val="23"/>
        </w:rPr>
      </w:pPr>
    </w:p>
    <w:p w:rsidR="00BB3B7A" w:rsidRPr="00627FED" w:rsidRDefault="00BB3B7A" w:rsidP="00627F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490754" w:rsidRPr="00627FED" w:rsidRDefault="000739F3" w:rsidP="00627FED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hAnsi="Times New Roman" w:cs="Times New Roman"/>
          <w:b/>
          <w:sz w:val="23"/>
          <w:szCs w:val="23"/>
        </w:rPr>
        <w:t>Art. 2º</w:t>
      </w:r>
      <w:r w:rsidRPr="00627FED">
        <w:rPr>
          <w:rFonts w:ascii="Times New Roman" w:hAnsi="Times New Roman" w:cs="Times New Roman"/>
          <w:sz w:val="23"/>
          <w:szCs w:val="23"/>
        </w:rPr>
        <w:t xml:space="preserve"> A Lei Municipal nº 3.023/2026 passa a vigorar com o Anexo Único desta Lei.</w:t>
      </w:r>
    </w:p>
    <w:p w:rsidR="000275CD" w:rsidRPr="00627FED" w:rsidRDefault="00490754" w:rsidP="00627FED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</w:p>
    <w:p w:rsidR="000B4070" w:rsidRPr="00627FED" w:rsidRDefault="000B4070" w:rsidP="00627FED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Gabinete do Prefeito de Alpestre, aos </w:t>
      </w:r>
      <w:r w:rsid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>07</w:t>
      </w: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dias do mês de </w:t>
      </w:r>
      <w:r w:rsidR="00490754"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>agosto</w:t>
      </w: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do ano de 2026.</w:t>
      </w:r>
    </w:p>
    <w:p w:rsidR="009E5D98" w:rsidRPr="00627FED" w:rsidRDefault="009E5D98" w:rsidP="00627F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61D71" w:rsidRPr="00627FED" w:rsidRDefault="00461D71" w:rsidP="00627F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A1659B" w:rsidRPr="00627FED" w:rsidRDefault="00A1659B" w:rsidP="00627FE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0B4070" w:rsidRPr="00627FED" w:rsidRDefault="000B4070" w:rsidP="00627F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RUDIMAR ARGENTON</w:t>
      </w:r>
    </w:p>
    <w:p w:rsidR="00CA4600" w:rsidRPr="00627FED" w:rsidRDefault="000B4070" w:rsidP="00627F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627FED">
        <w:rPr>
          <w:rFonts w:ascii="Times New Roman" w:eastAsia="Times New Roman" w:hAnsi="Times New Roman" w:cs="Times New Roman"/>
          <w:sz w:val="23"/>
          <w:szCs w:val="23"/>
          <w:lang w:eastAsia="pt-BR"/>
        </w:rPr>
        <w:t>Prefeito Municipal</w:t>
      </w:r>
    </w:p>
    <w:p w:rsidR="00155E62" w:rsidRDefault="00155E62" w:rsidP="00155E62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55E62" w:rsidRPr="002122D1" w:rsidRDefault="00155E62" w:rsidP="00155E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122D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ANEXO ÚNICO</w:t>
      </w:r>
    </w:p>
    <w:p w:rsidR="00155E62" w:rsidRDefault="00155E62" w:rsidP="00155E6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2122D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TABELA DE VALORES LIMITES DE CONCESSÃO DE PATROCÍNIO</w:t>
      </w:r>
    </w:p>
    <w:p w:rsidR="00155E62" w:rsidRPr="002122D1" w:rsidRDefault="00155E62" w:rsidP="00155E6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tbl>
      <w:tblPr>
        <w:tblStyle w:val="TabeladeGradeClara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3076"/>
        <w:gridCol w:w="2268"/>
        <w:gridCol w:w="1847"/>
      </w:tblGrid>
      <w:tr w:rsidR="00155E62" w:rsidRPr="00993326" w:rsidTr="00993326">
        <w:tc>
          <w:tcPr>
            <w:tcW w:w="1881" w:type="dxa"/>
            <w:hideMark/>
          </w:tcPr>
          <w:p w:rsidR="00155E62" w:rsidRPr="00993326" w:rsidRDefault="00155E62" w:rsidP="001730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t-BR"/>
              </w:rPr>
              <w:t>CLASSIFICAÇÃO DO EVENTO</w:t>
            </w:r>
          </w:p>
        </w:tc>
        <w:tc>
          <w:tcPr>
            <w:tcW w:w="3076" w:type="dxa"/>
            <w:hideMark/>
          </w:tcPr>
          <w:p w:rsidR="00155E62" w:rsidRPr="00993326" w:rsidRDefault="00155E62" w:rsidP="001730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t-BR"/>
              </w:rPr>
              <w:t>CARACTERIZAÇÃO / CRITÉRIOS</w:t>
            </w:r>
          </w:p>
        </w:tc>
        <w:tc>
          <w:tcPr>
            <w:tcW w:w="2268" w:type="dxa"/>
            <w:hideMark/>
          </w:tcPr>
          <w:p w:rsidR="00155E62" w:rsidRPr="00993326" w:rsidRDefault="00155E62" w:rsidP="001730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t-BR"/>
              </w:rPr>
              <w:t>ABRANGÊNCIA E PÚBLICO-ALVO</w:t>
            </w:r>
          </w:p>
        </w:tc>
        <w:tc>
          <w:tcPr>
            <w:tcW w:w="1847" w:type="dxa"/>
            <w:hideMark/>
          </w:tcPr>
          <w:p w:rsidR="00155E62" w:rsidRPr="00993326" w:rsidRDefault="00155E62" w:rsidP="001730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pt-BR"/>
              </w:rPr>
              <w:t>VALOR LIMITE DE PATROCÍNIO</w:t>
            </w:r>
          </w:p>
        </w:tc>
      </w:tr>
      <w:tr w:rsidR="00155E62" w:rsidRPr="00993326" w:rsidTr="00993326">
        <w:tc>
          <w:tcPr>
            <w:tcW w:w="1881" w:type="dxa"/>
            <w:vAlign w:val="center"/>
            <w:hideMark/>
          </w:tcPr>
          <w:p w:rsidR="00155E62" w:rsidRPr="00993326" w:rsidRDefault="00155E62" w:rsidP="0017307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Evento Local / Comunitário</w:t>
            </w:r>
          </w:p>
        </w:tc>
        <w:tc>
          <w:tcPr>
            <w:tcW w:w="3076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Eventos de pequeno porte, de interesse comunitário, voltados à integração social, cultural, esportiva, educacional ou ambiental</w:t>
            </w:r>
          </w:p>
        </w:tc>
        <w:tc>
          <w:tcPr>
            <w:tcW w:w="2268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Público predominantemente municipal, com alcance restrito às comunidades locais</w:t>
            </w:r>
          </w:p>
        </w:tc>
        <w:tc>
          <w:tcPr>
            <w:tcW w:w="1847" w:type="dxa"/>
            <w:vAlign w:val="center"/>
            <w:hideMark/>
          </w:tcPr>
          <w:p w:rsidR="00155E62" w:rsidRPr="00993326" w:rsidRDefault="00155E62" w:rsidP="00155E62">
            <w:pPr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8.000,00</w:t>
            </w:r>
          </w:p>
        </w:tc>
      </w:tr>
      <w:tr w:rsidR="00155E62" w:rsidRPr="00993326" w:rsidTr="00993326">
        <w:tc>
          <w:tcPr>
            <w:tcW w:w="1881" w:type="dxa"/>
            <w:vAlign w:val="center"/>
            <w:hideMark/>
          </w:tcPr>
          <w:p w:rsidR="00155E62" w:rsidRPr="00993326" w:rsidRDefault="00155E62" w:rsidP="0017307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Evento Municipal de Médio Porte</w:t>
            </w:r>
          </w:p>
        </w:tc>
        <w:tc>
          <w:tcPr>
            <w:tcW w:w="3076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Eventos com relevância para o Município, incluindo ações culturais, esportivas, turísticas, educacionais, sociais, ambientais ou de valorização da agricultura</w:t>
            </w:r>
          </w:p>
        </w:tc>
        <w:tc>
          <w:tcPr>
            <w:tcW w:w="2268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Público municipal, com potencial de mobilização de até 1.000 participantes</w:t>
            </w:r>
          </w:p>
        </w:tc>
        <w:tc>
          <w:tcPr>
            <w:tcW w:w="1847" w:type="dxa"/>
            <w:vAlign w:val="center"/>
            <w:hideMark/>
          </w:tcPr>
          <w:p w:rsidR="00155E62" w:rsidRPr="00993326" w:rsidRDefault="00155E62" w:rsidP="00155E62">
            <w:pPr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15.000,00</w:t>
            </w:r>
          </w:p>
        </w:tc>
      </w:tr>
      <w:tr w:rsidR="00155E62" w:rsidRPr="00993326" w:rsidTr="00993326">
        <w:tc>
          <w:tcPr>
            <w:tcW w:w="1881" w:type="dxa"/>
            <w:vAlign w:val="center"/>
            <w:hideMark/>
          </w:tcPr>
          <w:p w:rsidR="00155E62" w:rsidRPr="00993326" w:rsidRDefault="00155E62" w:rsidP="0017307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Evento Municipal de Grande Porte</w:t>
            </w:r>
          </w:p>
        </w:tc>
        <w:tc>
          <w:tcPr>
            <w:tcW w:w="3076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Eventos tradicionais ou consolidados no calendário municipal, com impacto na promoção do Município e participação expressiva da comunidade</w:t>
            </w:r>
          </w:p>
        </w:tc>
        <w:tc>
          <w:tcPr>
            <w:tcW w:w="2268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Público superior a 1.000 participantes, com divulgação municipal ampliada</w:t>
            </w:r>
          </w:p>
        </w:tc>
        <w:tc>
          <w:tcPr>
            <w:tcW w:w="1847" w:type="dxa"/>
            <w:vAlign w:val="center"/>
            <w:hideMark/>
          </w:tcPr>
          <w:p w:rsidR="00155E62" w:rsidRPr="00993326" w:rsidRDefault="00155E62" w:rsidP="00155E62">
            <w:pPr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30.000,00</w:t>
            </w:r>
          </w:p>
        </w:tc>
      </w:tr>
      <w:tr w:rsidR="00155E62" w:rsidRPr="00993326" w:rsidTr="00993326">
        <w:tc>
          <w:tcPr>
            <w:tcW w:w="1881" w:type="dxa"/>
            <w:vAlign w:val="center"/>
          </w:tcPr>
          <w:p w:rsidR="00155E62" w:rsidRPr="00993326" w:rsidRDefault="00155E62" w:rsidP="0017307A">
            <w:pPr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Evento Beneficente de Interesse Social</w:t>
            </w:r>
          </w:p>
        </w:tc>
        <w:tc>
          <w:tcPr>
            <w:tcW w:w="3076" w:type="dxa"/>
            <w:vAlign w:val="center"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Eventos, campanhas, ações beneficentes ou iniciativas promovidas por entidades sem fins lucrativos ou organizações da sociedade civil, destinados à arrecadação de recursos, conscientização, inclusão social, proteção de grupos vulneráveis, saúde, assistência social, educação, meio ambiente ou outras finalidades de relevante interesse público, sem objetivo de lucro.</w:t>
            </w:r>
          </w:p>
        </w:tc>
        <w:tc>
          <w:tcPr>
            <w:tcW w:w="2268" w:type="dxa"/>
            <w:vAlign w:val="center"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Público municipal ou regional, com comprovado impacto social e benefício direto à comunidade.</w:t>
            </w:r>
          </w:p>
        </w:tc>
        <w:tc>
          <w:tcPr>
            <w:tcW w:w="1847" w:type="dxa"/>
            <w:vAlign w:val="center"/>
          </w:tcPr>
          <w:p w:rsidR="00155E62" w:rsidRPr="00993326" w:rsidRDefault="00155E62" w:rsidP="00155E62">
            <w:pPr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30.000,00</w:t>
            </w:r>
          </w:p>
        </w:tc>
      </w:tr>
      <w:tr w:rsidR="00155E62" w:rsidRPr="00993326" w:rsidTr="00993326">
        <w:tc>
          <w:tcPr>
            <w:tcW w:w="1881" w:type="dxa"/>
            <w:vAlign w:val="center"/>
            <w:hideMark/>
          </w:tcPr>
          <w:p w:rsidR="00155E62" w:rsidRPr="00993326" w:rsidRDefault="00155E62" w:rsidP="0017307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Evento Regional</w:t>
            </w:r>
          </w:p>
        </w:tc>
        <w:tc>
          <w:tcPr>
            <w:tcW w:w="3076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Eventos com participação de municípios da região, capazes de atrair visitantes e promover atividades econômicas, culturais, esportivas ou turísticas</w:t>
            </w:r>
          </w:p>
        </w:tc>
        <w:tc>
          <w:tcPr>
            <w:tcW w:w="2268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Público regional, com divulgação fora dos limites municipais</w:t>
            </w:r>
          </w:p>
        </w:tc>
        <w:tc>
          <w:tcPr>
            <w:tcW w:w="1847" w:type="dxa"/>
            <w:vAlign w:val="center"/>
            <w:hideMark/>
          </w:tcPr>
          <w:p w:rsidR="00155E62" w:rsidRPr="00993326" w:rsidRDefault="00155E62" w:rsidP="00155E62">
            <w:pPr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50.000,00</w:t>
            </w:r>
          </w:p>
        </w:tc>
      </w:tr>
      <w:tr w:rsidR="00155E62" w:rsidRPr="00993326" w:rsidTr="00993326">
        <w:tc>
          <w:tcPr>
            <w:tcW w:w="1881" w:type="dxa"/>
            <w:vAlign w:val="center"/>
            <w:hideMark/>
          </w:tcPr>
          <w:p w:rsidR="00155E62" w:rsidRPr="00993326" w:rsidRDefault="00155E62" w:rsidP="0017307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Evento Estadual ou de Ampla Abrangência</w:t>
            </w:r>
          </w:p>
        </w:tc>
        <w:tc>
          <w:tcPr>
            <w:tcW w:w="3076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Eventos com repercussão estadual ou interestadual, divulgação em meios de comunicação externos e relevante promoção institucional do Município</w:t>
            </w:r>
          </w:p>
        </w:tc>
        <w:tc>
          <w:tcPr>
            <w:tcW w:w="2268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Público de diversas localidades, com impacto turístico e econômico ampliado</w:t>
            </w:r>
          </w:p>
        </w:tc>
        <w:tc>
          <w:tcPr>
            <w:tcW w:w="1847" w:type="dxa"/>
            <w:vAlign w:val="center"/>
            <w:hideMark/>
          </w:tcPr>
          <w:p w:rsidR="00155E62" w:rsidRPr="00993326" w:rsidRDefault="00155E62" w:rsidP="00155E62">
            <w:pPr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100.000,00</w:t>
            </w:r>
          </w:p>
        </w:tc>
      </w:tr>
      <w:tr w:rsidR="00155E62" w:rsidRPr="00993326" w:rsidTr="00993326">
        <w:tc>
          <w:tcPr>
            <w:tcW w:w="1881" w:type="dxa"/>
            <w:vAlign w:val="center"/>
            <w:hideMark/>
          </w:tcPr>
          <w:p w:rsidR="00155E62" w:rsidRPr="00993326" w:rsidRDefault="00155E62" w:rsidP="0017307A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Feira Agrocomercial / Exposição Agropecuária e Comercial</w:t>
            </w:r>
          </w:p>
        </w:tc>
        <w:tc>
          <w:tcPr>
            <w:tcW w:w="3076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Eventos voltados à exposição, comercialização e promoção da agricultura, pecuária, agroindústria, comércio, serviços, inovação, tecnologia e desenvolvimento econômico</w:t>
            </w:r>
          </w:p>
        </w:tc>
        <w:tc>
          <w:tcPr>
            <w:tcW w:w="2268" w:type="dxa"/>
            <w:hideMark/>
          </w:tcPr>
          <w:p w:rsidR="00155E62" w:rsidRPr="00993326" w:rsidRDefault="00155E62" w:rsidP="0017307A">
            <w:pPr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Público regional ou estadual, com participação de produtores, empresas, entidades, visitantes e geração de negócios</w:t>
            </w:r>
          </w:p>
        </w:tc>
        <w:tc>
          <w:tcPr>
            <w:tcW w:w="1847" w:type="dxa"/>
            <w:vAlign w:val="center"/>
            <w:hideMark/>
          </w:tcPr>
          <w:p w:rsidR="00155E62" w:rsidRPr="00993326" w:rsidRDefault="00155E62" w:rsidP="00155E62">
            <w:pPr>
              <w:jc w:val="right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 w:rsidRPr="00993326">
              <w:rPr>
                <w:rFonts w:ascii="Times New Roman" w:eastAsia="Times New Roman" w:hAnsi="Times New Roman" w:cs="Times New Roman"/>
                <w:bCs/>
                <w:sz w:val="19"/>
                <w:szCs w:val="19"/>
                <w:lang w:eastAsia="pt-BR"/>
              </w:rPr>
              <w:t>300.000,00</w:t>
            </w:r>
          </w:p>
        </w:tc>
      </w:tr>
    </w:tbl>
    <w:p w:rsidR="00155E62" w:rsidRDefault="00155E62" w:rsidP="00155E62">
      <w:pPr>
        <w:pStyle w:val="NormalWeb"/>
        <w:spacing w:before="0" w:beforeAutospacing="0" w:after="0" w:afterAutospacing="0"/>
        <w:jc w:val="both"/>
      </w:pPr>
    </w:p>
    <w:p w:rsidR="00512E88" w:rsidRDefault="00512E88" w:rsidP="00155E62">
      <w:pPr>
        <w:pStyle w:val="NormalWeb"/>
        <w:spacing w:before="0" w:beforeAutospacing="0" w:after="0" w:afterAutospacing="0"/>
        <w:jc w:val="both"/>
      </w:pPr>
    </w:p>
    <w:p w:rsidR="00512E88" w:rsidRDefault="00512E88" w:rsidP="00155E62">
      <w:pPr>
        <w:pStyle w:val="NormalWeb"/>
        <w:spacing w:before="0" w:beforeAutospacing="0" w:after="0" w:afterAutospacing="0"/>
        <w:jc w:val="both"/>
      </w:pPr>
    </w:p>
    <w:p w:rsidR="00512E88" w:rsidRDefault="00512E88" w:rsidP="00155E62">
      <w:pPr>
        <w:pStyle w:val="NormalWeb"/>
        <w:spacing w:before="0" w:beforeAutospacing="0" w:after="0" w:afterAutospacing="0"/>
        <w:jc w:val="both"/>
      </w:pPr>
    </w:p>
    <w:p w:rsidR="00512E88" w:rsidRDefault="00512E88" w:rsidP="00155E62">
      <w:pPr>
        <w:pStyle w:val="NormalWeb"/>
        <w:spacing w:before="0" w:beforeAutospacing="0" w:after="0" w:afterAutospacing="0"/>
        <w:jc w:val="both"/>
      </w:pPr>
    </w:p>
    <w:p w:rsidR="00512E88" w:rsidRDefault="00512E88" w:rsidP="00155E62">
      <w:pPr>
        <w:pStyle w:val="NormalWeb"/>
        <w:spacing w:before="0" w:beforeAutospacing="0" w:after="0" w:afterAutospacing="0"/>
        <w:jc w:val="both"/>
      </w:pPr>
    </w:p>
    <w:p w:rsidR="00512E88" w:rsidRDefault="00512E88" w:rsidP="00155E62">
      <w:pPr>
        <w:pStyle w:val="NormalWeb"/>
        <w:spacing w:before="0" w:beforeAutospacing="0" w:after="0" w:afterAutospacing="0"/>
        <w:jc w:val="both"/>
      </w:pPr>
    </w:p>
    <w:p w:rsidR="00155E62" w:rsidRDefault="00155E62" w:rsidP="00FF45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E62" w:rsidRDefault="00155E62" w:rsidP="00FF45D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59B" w:rsidRPr="000B4070" w:rsidRDefault="00A1659B" w:rsidP="000B4070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0B40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lastRenderedPageBreak/>
        <w:t xml:space="preserve">EXPOSIÇÃO </w:t>
      </w:r>
      <w:bookmarkStart w:id="0" w:name="_GoBack"/>
      <w:bookmarkEnd w:id="0"/>
      <w:r w:rsidRPr="000B407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DE MOTIVOS</w:t>
      </w:r>
    </w:p>
    <w:p w:rsidR="00FF45DA" w:rsidRPr="000B4070" w:rsidRDefault="00FF45DA" w:rsidP="00FF45DA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1659B" w:rsidRPr="000B4070" w:rsidRDefault="00A1659B" w:rsidP="00FF45DA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070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FF45DA" w:rsidRPr="000B407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0B40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Presidente,</w:t>
      </w:r>
    </w:p>
    <w:p w:rsidR="00FF45DA" w:rsidRPr="000B4070" w:rsidRDefault="00FF45DA" w:rsidP="00FF45DA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1659B" w:rsidRPr="000B4070" w:rsidRDefault="00A1659B" w:rsidP="00FF45DA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070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Senhores Vereadores,</w:t>
      </w:r>
    </w:p>
    <w:p w:rsidR="00FF45DA" w:rsidRPr="000B4070" w:rsidRDefault="00FF45DA" w:rsidP="00FF45DA">
      <w:pPr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92C34" w:rsidRDefault="00B92C34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C34">
        <w:rPr>
          <w:rFonts w:ascii="Times New Roman" w:eastAsia="Times New Roman" w:hAnsi="Times New Roman" w:cs="Times New Roman"/>
          <w:sz w:val="24"/>
          <w:szCs w:val="24"/>
          <w:lang w:eastAsia="pt-BR"/>
        </w:rPr>
        <w:t>Encaminhamos à apreciação dessa Egrégia Câmara Municipal o presente Projeto de Lei que tem por finalidade alterar a Lei Municipal nº 3.023, de 29 de julho de 2026, que dispõe sobre a concessão e o recebimento de patrocínio pelo Poder Executivo do Município de Alpestre/RS, estabelecendo normas para sua concessão, aplicação dos recursos, fiscalização, prestação de contas e demais providências.</w:t>
      </w:r>
    </w:p>
    <w:p w:rsidR="003F7A91" w:rsidRPr="003F7A91" w:rsidRDefault="003F7A91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alteração são mais especificamente no texto do </w:t>
      </w:r>
      <w:r w:rsidRPr="003F7A91">
        <w:rPr>
          <w:rFonts w:ascii="Times New Roman" w:eastAsia="Times New Roman" w:hAnsi="Times New Roman" w:cs="Times New Roman"/>
          <w:sz w:val="24"/>
          <w:szCs w:val="24"/>
          <w:lang w:eastAsia="pt-BR"/>
        </w:rPr>
        <w:t>artigo 11 da Lei, com o objetivo de aperfeiçoar os critérios para a liberação de recursos destinados aos patrocínios concedidos pelo Município.</w:t>
      </w:r>
    </w:p>
    <w:p w:rsidR="003F7A91" w:rsidRPr="003F7A91" w:rsidRDefault="003F7A91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7A91">
        <w:rPr>
          <w:rFonts w:ascii="Times New Roman" w:eastAsia="Times New Roman" w:hAnsi="Times New Roman" w:cs="Times New Roman"/>
          <w:sz w:val="24"/>
          <w:szCs w:val="24"/>
          <w:lang w:eastAsia="pt-BR"/>
        </w:rPr>
        <w:t>A legislação vigente já prevê que a liberação dos recursos poderá ocorrer em parcela única ou parceladamente, bem como admite a antecipação de até 100% (cem por cento) do valor do patrocínio, quando demonstrada sua necessidade, condicionando ainda a liberação à assinatura do Contrato de Patrocínio e à abertura de conta bancária específica.</w:t>
      </w:r>
    </w:p>
    <w:p w:rsidR="003F7A91" w:rsidRPr="003F7A91" w:rsidRDefault="003F7A91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7A91">
        <w:rPr>
          <w:rFonts w:ascii="Times New Roman" w:eastAsia="Times New Roman" w:hAnsi="Times New Roman" w:cs="Times New Roman"/>
          <w:sz w:val="24"/>
          <w:szCs w:val="24"/>
          <w:lang w:eastAsia="pt-BR"/>
        </w:rPr>
        <w:t>As alterações ora propostas mantêm essas disposições e acrescentam mecanismos destinados a conferir maior segurança jurídica, transparência e objetividade ao processo de concessão dos patrocínios.</w:t>
      </w:r>
    </w:p>
    <w:p w:rsidR="003F7A91" w:rsidRPr="003F7A91" w:rsidRDefault="003F7A91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7A91">
        <w:rPr>
          <w:rFonts w:ascii="Times New Roman" w:eastAsia="Times New Roman" w:hAnsi="Times New Roman" w:cs="Times New Roman"/>
          <w:sz w:val="24"/>
          <w:szCs w:val="24"/>
          <w:lang w:eastAsia="pt-BR"/>
        </w:rPr>
        <w:t>Nesse sentido, passa-se a estabelecer expressamente que os valores previstos no Anexo Único da Lei constituem limites máximos de referência para cada categoria de evento, não assegurando direito subjetivo ao recebimento do valor máximo. A concessão permanecerá condicionada ao interesse público, à disponibilidade orçamentária e financeira, à análise técnica da Administração Municipal e ao atendimento dos requisitos legais.</w:t>
      </w:r>
    </w:p>
    <w:p w:rsidR="003F7A91" w:rsidRPr="003F7A91" w:rsidRDefault="003F7A91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7A91">
        <w:rPr>
          <w:rFonts w:ascii="Times New Roman" w:eastAsia="Times New Roman" w:hAnsi="Times New Roman" w:cs="Times New Roman"/>
          <w:sz w:val="24"/>
          <w:szCs w:val="24"/>
          <w:lang w:eastAsia="pt-BR"/>
        </w:rPr>
        <w:t>Também se atribui à Secretaria Municipal competente a responsabilidade pelo enquadramento dos eventos nas respectivas categorias e abrangências territoriais, conforme critérios que serão definidos em regulamento, assegurando uniformidade e critérios objetivos na análise dos pedidos de patrocínio.</w:t>
      </w:r>
    </w:p>
    <w:p w:rsidR="003F7A91" w:rsidRPr="003F7A91" w:rsidRDefault="003F7A91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7A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Outra inovação consiste na autorização para que os valores constantes do Anexo Único sejam atualizados por Decreto do Poder Executivo, mediante a aplicação do Índice Nacional de Preços ao Consumidor Amplo – IPCA, ou outro índice oficial que venha a </w:t>
      </w:r>
      <w:r w:rsidRPr="003F7A9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substituí-lo. A medida visa preservar o valor real dos limites estabelecidos, evitando sucessivas alterações legislativas destinadas exclusivamente à recomposição monetária.</w:t>
      </w:r>
    </w:p>
    <w:p w:rsidR="003F7A91" w:rsidRPr="003F7A91" w:rsidRDefault="003F7A91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7A91">
        <w:rPr>
          <w:rFonts w:ascii="Times New Roman" w:eastAsia="Times New Roman" w:hAnsi="Times New Roman" w:cs="Times New Roman"/>
          <w:sz w:val="24"/>
          <w:szCs w:val="24"/>
          <w:lang w:eastAsia="pt-BR"/>
        </w:rPr>
        <w:t>Por fim, estabelece-se que a concessão de patrocínio em valor superior aos limites fixados no Anexo Único somente poderá ocorrer mediante autorização em lei específica, reforçando o controle legislativo e a excepcionalidade de concessões que ultrapassem os parâmetros ordinariamente estabelecidos.</w:t>
      </w:r>
    </w:p>
    <w:p w:rsidR="003F7A91" w:rsidRPr="003F7A91" w:rsidRDefault="003F7A91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7A91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as alterações propostas aperfeiçoam a disciplina da liberação e dos limites dos patrocínios municipais, fortalecendo a segurança jurídica, a transparência administrativa e o controle na aplicação dos recursos públicos, sem modificar a sistemática já existente quanto às formas e condições de liberação dos recursos.</w:t>
      </w:r>
    </w:p>
    <w:p w:rsidR="003F7A91" w:rsidRDefault="00B92C34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92C34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submetemos o presente Projeto de Lei à apreciação dos nobres Vereado</w:t>
      </w:r>
      <w:r w:rsidR="003F7A91">
        <w:rPr>
          <w:rFonts w:ascii="Times New Roman" w:eastAsia="Times New Roman" w:hAnsi="Times New Roman" w:cs="Times New Roman"/>
          <w:sz w:val="24"/>
          <w:szCs w:val="24"/>
          <w:lang w:eastAsia="pt-BR"/>
        </w:rPr>
        <w:t>res, contando com sua aprovação</w:t>
      </w:r>
      <w:r w:rsidRPr="00B92C34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0B4070" w:rsidRPr="000B4070" w:rsidRDefault="000B4070" w:rsidP="003F7A91">
      <w:pPr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070">
        <w:rPr>
          <w:rFonts w:ascii="Times New Roman" w:eastAsia="Times New Roman" w:hAnsi="Times New Roman" w:cs="Times New Roman"/>
          <w:sz w:val="24"/>
          <w:szCs w:val="24"/>
          <w:lang w:eastAsia="pt-BR"/>
        </w:rPr>
        <w:t>Atenciosamente,</w:t>
      </w:r>
    </w:p>
    <w:p w:rsidR="00A1659B" w:rsidRPr="000B4070" w:rsidRDefault="00A1659B" w:rsidP="00FF45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1659B" w:rsidRDefault="00A1659B" w:rsidP="00FF45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3028A" w:rsidRPr="000B4070" w:rsidRDefault="0053028A" w:rsidP="00FF45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1659B" w:rsidRPr="000B4070" w:rsidRDefault="000B4070" w:rsidP="000B407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B407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RUDIMAR ARGENTON</w:t>
      </w:r>
    </w:p>
    <w:p w:rsidR="000B4070" w:rsidRPr="000B4070" w:rsidRDefault="000B4070" w:rsidP="000B407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B407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:rsidR="00A1659B" w:rsidRPr="000275CD" w:rsidRDefault="00A1659B" w:rsidP="000275CD"/>
    <w:sectPr w:rsidR="00A1659B" w:rsidRPr="000275CD" w:rsidSect="000B4070">
      <w:pgSz w:w="11906" w:h="16838"/>
      <w:pgMar w:top="2268" w:right="1133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CD"/>
    <w:rsid w:val="000275CD"/>
    <w:rsid w:val="00066BB7"/>
    <w:rsid w:val="000739F3"/>
    <w:rsid w:val="00090FF3"/>
    <w:rsid w:val="000B4070"/>
    <w:rsid w:val="00136C4A"/>
    <w:rsid w:val="00155E62"/>
    <w:rsid w:val="002D6906"/>
    <w:rsid w:val="003439E3"/>
    <w:rsid w:val="00366E3C"/>
    <w:rsid w:val="003F7A91"/>
    <w:rsid w:val="00461D71"/>
    <w:rsid w:val="00490754"/>
    <w:rsid w:val="00512E88"/>
    <w:rsid w:val="0053028A"/>
    <w:rsid w:val="00553CCE"/>
    <w:rsid w:val="006209FA"/>
    <w:rsid w:val="00627FED"/>
    <w:rsid w:val="006E39FB"/>
    <w:rsid w:val="00791797"/>
    <w:rsid w:val="007D1669"/>
    <w:rsid w:val="00943C64"/>
    <w:rsid w:val="00993326"/>
    <w:rsid w:val="009E5D98"/>
    <w:rsid w:val="00A14768"/>
    <w:rsid w:val="00A1659B"/>
    <w:rsid w:val="00A754F2"/>
    <w:rsid w:val="00AE2942"/>
    <w:rsid w:val="00AE2ADF"/>
    <w:rsid w:val="00B92C34"/>
    <w:rsid w:val="00BB3B7A"/>
    <w:rsid w:val="00C108C7"/>
    <w:rsid w:val="00C577C4"/>
    <w:rsid w:val="00C83023"/>
    <w:rsid w:val="00CA4600"/>
    <w:rsid w:val="00CC4D5D"/>
    <w:rsid w:val="00E01C38"/>
    <w:rsid w:val="00E217B2"/>
    <w:rsid w:val="00F80ECF"/>
    <w:rsid w:val="00FA7370"/>
    <w:rsid w:val="00FF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E3225-B280-4247-97C3-462639A5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0275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0275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1659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75C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275C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isselectedend">
    <w:name w:val="isselectedend"/>
    <w:basedOn w:val="Normal"/>
    <w:rsid w:val="0002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275CD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027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A165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e">
    <w:name w:val="Emphasis"/>
    <w:qFormat/>
    <w:rsid w:val="00A14768"/>
    <w:rPr>
      <w:i/>
      <w:iCs/>
    </w:rPr>
  </w:style>
  <w:style w:type="paragraph" w:customStyle="1" w:styleId="pdq2pgselectionanchorcontainer">
    <w:name w:val="pdq2pg_selectionanchorcontainer"/>
    <w:basedOn w:val="Normal"/>
    <w:rsid w:val="00490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ntedodatabela">
    <w:name w:val="Conteúdo da tabela"/>
    <w:basedOn w:val="Normal"/>
    <w:qFormat/>
    <w:rsid w:val="00CA4600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A4600"/>
    <w:pPr>
      <w:suppressAutoHyphens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deGradeClara">
    <w:name w:val="Grid Table Light"/>
    <w:basedOn w:val="Tabelanormal"/>
    <w:uiPriority w:val="40"/>
    <w:rsid w:val="00155E62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1264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8</cp:revision>
  <dcterms:created xsi:type="dcterms:W3CDTF">2026-08-05T16:19:00Z</dcterms:created>
  <dcterms:modified xsi:type="dcterms:W3CDTF">2026-08-06T16:14:00Z</dcterms:modified>
</cp:coreProperties>
</file>