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49CC" w:rsidRPr="00533C62" w:rsidRDefault="00533C62">
      <w:pPr>
        <w:jc w:val="center"/>
      </w:pPr>
      <w:r w:rsidRPr="00533C62">
        <w:rPr>
          <w:b/>
        </w:rPr>
        <w:t>PROJETO DE LEI Nº 0</w:t>
      </w:r>
      <w:r w:rsidR="002D5806">
        <w:rPr>
          <w:b/>
        </w:rPr>
        <w:t>02</w:t>
      </w:r>
      <w:r w:rsidRPr="00533C62">
        <w:rPr>
          <w:b/>
        </w:rPr>
        <w:t>/</w:t>
      </w:r>
      <w:r w:rsidR="001E4AEC">
        <w:rPr>
          <w:b/>
        </w:rPr>
        <w:t>20</w:t>
      </w:r>
      <w:r w:rsidRPr="00533C62">
        <w:rPr>
          <w:b/>
        </w:rPr>
        <w:t>2</w:t>
      </w:r>
      <w:r w:rsidR="00A566B1">
        <w:rPr>
          <w:b/>
        </w:rPr>
        <w:t>6</w:t>
      </w:r>
      <w:r w:rsidRPr="00533C62">
        <w:rPr>
          <w:b/>
        </w:rPr>
        <w:t xml:space="preserve">, DE </w:t>
      </w:r>
      <w:r w:rsidR="002D5806">
        <w:rPr>
          <w:b/>
        </w:rPr>
        <w:t>26</w:t>
      </w:r>
      <w:r w:rsidR="002D49CC" w:rsidRPr="00533C62">
        <w:rPr>
          <w:b/>
        </w:rPr>
        <w:t xml:space="preserve"> DE </w:t>
      </w:r>
      <w:r w:rsidRPr="00533C62">
        <w:rPr>
          <w:b/>
        </w:rPr>
        <w:t>JANEIRO DE 202</w:t>
      </w:r>
      <w:r w:rsidR="00A566B1">
        <w:rPr>
          <w:b/>
        </w:rPr>
        <w:t>6</w:t>
      </w:r>
      <w:r w:rsidR="002D49CC" w:rsidRPr="00533C62">
        <w:rPr>
          <w:b/>
        </w:rPr>
        <w:t>.</w:t>
      </w:r>
    </w:p>
    <w:p w:rsidR="002D49CC" w:rsidRPr="00533C62" w:rsidRDefault="002D49CC">
      <w:pPr>
        <w:ind w:left="4956"/>
        <w:jc w:val="both"/>
        <w:rPr>
          <w:b/>
          <w:i/>
        </w:rPr>
      </w:pPr>
    </w:p>
    <w:p w:rsidR="002D49CC" w:rsidRPr="00533C62" w:rsidRDefault="002D49CC">
      <w:pPr>
        <w:ind w:left="4956"/>
        <w:jc w:val="both"/>
      </w:pPr>
      <w:r w:rsidRPr="00533C62">
        <w:rPr>
          <w:i/>
        </w:rPr>
        <w:t>Caracteriza situação de excepcional interesse público, autoriza a contratação temp</w:t>
      </w:r>
      <w:bookmarkStart w:id="0" w:name="_GoBack"/>
      <w:bookmarkEnd w:id="0"/>
      <w:r w:rsidRPr="00533C62">
        <w:rPr>
          <w:i/>
        </w:rPr>
        <w:t xml:space="preserve">orária de servidores e dá outras providências. </w:t>
      </w:r>
    </w:p>
    <w:p w:rsidR="002D49CC" w:rsidRPr="00533C62" w:rsidRDefault="002D49CC">
      <w:pPr>
        <w:ind w:left="4956"/>
        <w:jc w:val="both"/>
        <w:rPr>
          <w:i/>
        </w:rPr>
      </w:pPr>
    </w:p>
    <w:p w:rsidR="002D49CC" w:rsidRPr="007E0B96" w:rsidRDefault="002D49CC" w:rsidP="00E01B9B">
      <w:pPr>
        <w:ind w:firstLine="1425"/>
        <w:jc w:val="both"/>
      </w:pPr>
      <w:r w:rsidRPr="00533C62">
        <w:rPr>
          <w:b/>
        </w:rPr>
        <w:t>Art. 1º</w:t>
      </w:r>
      <w:r w:rsidRPr="00533C62">
        <w:t xml:space="preserve"> </w:t>
      </w:r>
      <w:r w:rsidRPr="00533C62">
        <w:rPr>
          <w:color w:val="000000"/>
        </w:rPr>
        <w:t>Fica</w:t>
      </w:r>
      <w:r w:rsidRPr="00533C62">
        <w:t xml:space="preserve"> caracterizada como de </w:t>
      </w:r>
      <w:r w:rsidRPr="00436C9D">
        <w:t xml:space="preserve">excepcional interesse público, na forma preconizada no inciso IX do art. 37 da Constituição Federal, o provimento </w:t>
      </w:r>
      <w:r w:rsidRPr="00CF2BFD">
        <w:t xml:space="preserve">da demanda de </w:t>
      </w:r>
      <w:r w:rsidR="007E0B96" w:rsidRPr="00CF2BFD">
        <w:t>08</w:t>
      </w:r>
      <w:r w:rsidRPr="00CF2BFD">
        <w:t xml:space="preserve"> </w:t>
      </w:r>
      <w:r w:rsidR="007E0B96" w:rsidRPr="00CF2BFD">
        <w:t xml:space="preserve">Professores </w:t>
      </w:r>
      <w:r w:rsidRPr="00CF2BFD">
        <w:t xml:space="preserve">de anos iniciais, </w:t>
      </w:r>
      <w:r w:rsidR="007337DD" w:rsidRPr="00CF2BFD">
        <w:t>visando o</w:t>
      </w:r>
      <w:r w:rsidR="00E01B9B" w:rsidRPr="00CF2BFD">
        <w:t xml:space="preserve"> preenchimento do quadro funcional para o início do ano letivo de 202</w:t>
      </w:r>
      <w:r w:rsidR="00A566B1" w:rsidRPr="00CF2BFD">
        <w:t>6</w:t>
      </w:r>
      <w:r w:rsidR="00E01B9B" w:rsidRPr="00CF2BFD">
        <w:t>.</w:t>
      </w:r>
    </w:p>
    <w:p w:rsidR="002D49CC" w:rsidRPr="00533C62" w:rsidRDefault="002D49CC">
      <w:pPr>
        <w:ind w:firstLine="1425"/>
        <w:jc w:val="both"/>
      </w:pPr>
      <w:r w:rsidRPr="007E0B96">
        <w:rPr>
          <w:b/>
          <w:bCs/>
        </w:rPr>
        <w:t xml:space="preserve">Art. 2º </w:t>
      </w:r>
      <w:r w:rsidRPr="007E0B96">
        <w:t>Fica</w:t>
      </w:r>
      <w:r w:rsidRPr="00533C62">
        <w:t xml:space="preserve"> autorizada a contratação temporária e emergencial de servidores para atendimento das demandas de </w:t>
      </w:r>
      <w:r w:rsidRPr="00533C62">
        <w:rPr>
          <w:color w:val="000000"/>
        </w:rPr>
        <w:t>excepcional interesse público, pelo período de 06 meses prorrogável uma vez por igual período e interrompido a qualquer momento quando cessado a necessidade, conforme descrito no quadro a seguir:</w:t>
      </w:r>
      <w:r w:rsidRPr="00533C6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838"/>
        <w:gridCol w:w="1765"/>
        <w:gridCol w:w="1202"/>
        <w:gridCol w:w="1144"/>
        <w:gridCol w:w="1273"/>
      </w:tblGrid>
      <w:tr w:rsidR="00E01B9B" w:rsidRPr="00C13B9E" w:rsidTr="007E0B96">
        <w:trPr>
          <w:trHeight w:val="337"/>
        </w:trPr>
        <w:tc>
          <w:tcPr>
            <w:tcW w:w="843" w:type="dxa"/>
            <w:vMerge w:val="restart"/>
            <w:shd w:val="clear" w:color="auto" w:fill="auto"/>
          </w:tcPr>
          <w:p w:rsidR="00E01B9B" w:rsidRPr="00C13B9E" w:rsidRDefault="00E01B9B" w:rsidP="002D49CC">
            <w:pPr>
              <w:jc w:val="center"/>
              <w:rPr>
                <w:b/>
                <w:sz w:val="22"/>
                <w:szCs w:val="22"/>
              </w:rPr>
            </w:pPr>
            <w:r w:rsidRPr="00C13B9E">
              <w:rPr>
                <w:b/>
                <w:sz w:val="22"/>
                <w:szCs w:val="22"/>
              </w:rPr>
              <w:t>Vagas</w:t>
            </w:r>
          </w:p>
        </w:tc>
        <w:tc>
          <w:tcPr>
            <w:tcW w:w="2838" w:type="dxa"/>
            <w:vMerge w:val="restart"/>
            <w:shd w:val="clear" w:color="auto" w:fill="auto"/>
          </w:tcPr>
          <w:p w:rsidR="00E01B9B" w:rsidRPr="00C13B9E" w:rsidRDefault="00E01B9B" w:rsidP="002D49CC">
            <w:pPr>
              <w:jc w:val="center"/>
              <w:rPr>
                <w:b/>
                <w:sz w:val="22"/>
                <w:szCs w:val="22"/>
              </w:rPr>
            </w:pPr>
            <w:r w:rsidRPr="00C13B9E">
              <w:rPr>
                <w:b/>
                <w:sz w:val="22"/>
                <w:szCs w:val="22"/>
              </w:rPr>
              <w:t>Cargo</w:t>
            </w:r>
          </w:p>
        </w:tc>
        <w:tc>
          <w:tcPr>
            <w:tcW w:w="1765" w:type="dxa"/>
            <w:vMerge w:val="restart"/>
            <w:shd w:val="clear" w:color="auto" w:fill="auto"/>
          </w:tcPr>
          <w:p w:rsidR="00E01B9B" w:rsidRPr="00C13B9E" w:rsidRDefault="00E01B9B" w:rsidP="002D49CC">
            <w:pPr>
              <w:jc w:val="center"/>
              <w:rPr>
                <w:b/>
                <w:sz w:val="22"/>
                <w:szCs w:val="22"/>
              </w:rPr>
            </w:pPr>
            <w:r w:rsidRPr="00C13B9E">
              <w:rPr>
                <w:b/>
                <w:sz w:val="22"/>
                <w:szCs w:val="22"/>
              </w:rPr>
              <w:t>Carga Horária Semanal</w:t>
            </w:r>
          </w:p>
        </w:tc>
        <w:tc>
          <w:tcPr>
            <w:tcW w:w="3619" w:type="dxa"/>
            <w:gridSpan w:val="3"/>
            <w:shd w:val="clear" w:color="auto" w:fill="auto"/>
          </w:tcPr>
          <w:p w:rsidR="00E01B9B" w:rsidRPr="00C13B9E" w:rsidRDefault="00FA20D3" w:rsidP="002D49CC">
            <w:pPr>
              <w:jc w:val="center"/>
              <w:rPr>
                <w:b/>
                <w:sz w:val="22"/>
                <w:szCs w:val="22"/>
              </w:rPr>
            </w:pPr>
            <w:r w:rsidRPr="00C13B9E">
              <w:rPr>
                <w:b/>
                <w:sz w:val="22"/>
                <w:szCs w:val="22"/>
              </w:rPr>
              <w:t>Valor dos Vencimentos</w:t>
            </w:r>
          </w:p>
        </w:tc>
      </w:tr>
      <w:tr w:rsidR="00E01B9B" w:rsidRPr="00C13B9E" w:rsidTr="007E0B96">
        <w:trPr>
          <w:trHeight w:val="203"/>
        </w:trPr>
        <w:tc>
          <w:tcPr>
            <w:tcW w:w="843" w:type="dxa"/>
            <w:vMerge/>
            <w:shd w:val="clear" w:color="auto" w:fill="auto"/>
          </w:tcPr>
          <w:p w:rsidR="00E01B9B" w:rsidRPr="00C13B9E" w:rsidRDefault="00E01B9B" w:rsidP="002D49CC">
            <w:pPr>
              <w:jc w:val="center"/>
              <w:rPr>
                <w:b/>
                <w:sz w:val="22"/>
                <w:szCs w:val="22"/>
              </w:rPr>
            </w:pPr>
          </w:p>
        </w:tc>
        <w:tc>
          <w:tcPr>
            <w:tcW w:w="2838" w:type="dxa"/>
            <w:vMerge/>
            <w:shd w:val="clear" w:color="auto" w:fill="auto"/>
          </w:tcPr>
          <w:p w:rsidR="00E01B9B" w:rsidRPr="00C13B9E" w:rsidRDefault="00E01B9B" w:rsidP="002D49CC">
            <w:pPr>
              <w:jc w:val="center"/>
              <w:rPr>
                <w:b/>
                <w:sz w:val="22"/>
                <w:szCs w:val="22"/>
              </w:rPr>
            </w:pPr>
          </w:p>
        </w:tc>
        <w:tc>
          <w:tcPr>
            <w:tcW w:w="1765" w:type="dxa"/>
            <w:vMerge/>
            <w:shd w:val="clear" w:color="auto" w:fill="auto"/>
          </w:tcPr>
          <w:p w:rsidR="00E01B9B" w:rsidRPr="00C13B9E" w:rsidRDefault="00E01B9B" w:rsidP="002D49CC">
            <w:pPr>
              <w:jc w:val="center"/>
              <w:rPr>
                <w:b/>
                <w:sz w:val="22"/>
                <w:szCs w:val="22"/>
              </w:rPr>
            </w:pPr>
          </w:p>
        </w:tc>
        <w:tc>
          <w:tcPr>
            <w:tcW w:w="1202" w:type="dxa"/>
            <w:shd w:val="clear" w:color="auto" w:fill="auto"/>
          </w:tcPr>
          <w:p w:rsidR="00E01B9B" w:rsidRPr="00C13B9E" w:rsidRDefault="00E01B9B" w:rsidP="002D49CC">
            <w:pPr>
              <w:snapToGrid w:val="0"/>
              <w:ind w:left="-55" w:right="-55"/>
              <w:jc w:val="center"/>
              <w:rPr>
                <w:sz w:val="22"/>
                <w:szCs w:val="22"/>
              </w:rPr>
            </w:pPr>
            <w:r w:rsidRPr="00C13B9E">
              <w:rPr>
                <w:b/>
                <w:sz w:val="22"/>
                <w:szCs w:val="22"/>
              </w:rPr>
              <w:t>Nível 1</w:t>
            </w:r>
          </w:p>
        </w:tc>
        <w:tc>
          <w:tcPr>
            <w:tcW w:w="1144" w:type="dxa"/>
            <w:shd w:val="clear" w:color="auto" w:fill="auto"/>
          </w:tcPr>
          <w:p w:rsidR="00E01B9B" w:rsidRPr="00C13B9E" w:rsidRDefault="00E01B9B" w:rsidP="002D49CC">
            <w:pPr>
              <w:snapToGrid w:val="0"/>
              <w:ind w:left="-55" w:right="-55"/>
              <w:jc w:val="center"/>
              <w:rPr>
                <w:sz w:val="22"/>
                <w:szCs w:val="22"/>
              </w:rPr>
            </w:pPr>
            <w:r w:rsidRPr="00C13B9E">
              <w:rPr>
                <w:b/>
                <w:sz w:val="22"/>
                <w:szCs w:val="22"/>
              </w:rPr>
              <w:t>Nível 2</w:t>
            </w:r>
          </w:p>
        </w:tc>
        <w:tc>
          <w:tcPr>
            <w:tcW w:w="1273" w:type="dxa"/>
            <w:shd w:val="clear" w:color="auto" w:fill="auto"/>
          </w:tcPr>
          <w:p w:rsidR="00E01B9B" w:rsidRPr="00C13B9E" w:rsidRDefault="00E01B9B" w:rsidP="002D49CC">
            <w:pPr>
              <w:snapToGrid w:val="0"/>
              <w:ind w:left="-55" w:right="-36"/>
              <w:jc w:val="center"/>
              <w:rPr>
                <w:sz w:val="22"/>
                <w:szCs w:val="22"/>
              </w:rPr>
            </w:pPr>
            <w:r w:rsidRPr="00C13B9E">
              <w:rPr>
                <w:b/>
                <w:sz w:val="22"/>
                <w:szCs w:val="22"/>
              </w:rPr>
              <w:t>Nível 3</w:t>
            </w:r>
          </w:p>
        </w:tc>
      </w:tr>
      <w:tr w:rsidR="007E0B96" w:rsidRPr="00C13B9E" w:rsidTr="007E0B96">
        <w:tc>
          <w:tcPr>
            <w:tcW w:w="843" w:type="dxa"/>
            <w:shd w:val="clear" w:color="auto" w:fill="auto"/>
          </w:tcPr>
          <w:p w:rsidR="007E0B96" w:rsidRPr="00C13B9E" w:rsidRDefault="007E0B96" w:rsidP="007E0B96">
            <w:pPr>
              <w:jc w:val="center"/>
              <w:rPr>
                <w:sz w:val="22"/>
                <w:szCs w:val="22"/>
              </w:rPr>
            </w:pPr>
            <w:r w:rsidRPr="00C13B9E">
              <w:rPr>
                <w:sz w:val="22"/>
                <w:szCs w:val="22"/>
              </w:rPr>
              <w:t>08</w:t>
            </w:r>
          </w:p>
        </w:tc>
        <w:tc>
          <w:tcPr>
            <w:tcW w:w="2838" w:type="dxa"/>
            <w:shd w:val="clear" w:color="auto" w:fill="auto"/>
          </w:tcPr>
          <w:p w:rsidR="007E0B96" w:rsidRPr="00C13B9E" w:rsidRDefault="007E0B96" w:rsidP="007E0B96">
            <w:pPr>
              <w:jc w:val="both"/>
              <w:rPr>
                <w:sz w:val="22"/>
                <w:szCs w:val="22"/>
              </w:rPr>
            </w:pPr>
            <w:r w:rsidRPr="00C13B9E">
              <w:rPr>
                <w:sz w:val="22"/>
                <w:szCs w:val="22"/>
              </w:rPr>
              <w:t>Professor anos iniciais</w:t>
            </w:r>
          </w:p>
        </w:tc>
        <w:tc>
          <w:tcPr>
            <w:tcW w:w="1765" w:type="dxa"/>
            <w:shd w:val="clear" w:color="auto" w:fill="auto"/>
          </w:tcPr>
          <w:p w:rsidR="007E0B96" w:rsidRPr="00C13B9E" w:rsidRDefault="007E0B96" w:rsidP="007E0B96">
            <w:pPr>
              <w:jc w:val="center"/>
              <w:rPr>
                <w:sz w:val="22"/>
                <w:szCs w:val="22"/>
              </w:rPr>
            </w:pPr>
            <w:r w:rsidRPr="00C13B9E">
              <w:rPr>
                <w:sz w:val="22"/>
                <w:szCs w:val="22"/>
              </w:rPr>
              <w:t>22</w:t>
            </w:r>
          </w:p>
        </w:tc>
        <w:tc>
          <w:tcPr>
            <w:tcW w:w="1202" w:type="dxa"/>
            <w:shd w:val="clear" w:color="auto" w:fill="auto"/>
            <w:vAlign w:val="center"/>
          </w:tcPr>
          <w:p w:rsidR="007E0B96" w:rsidRPr="00C13B9E" w:rsidRDefault="007E0B96" w:rsidP="007E0B96">
            <w:pPr>
              <w:suppressAutoHyphens w:val="0"/>
              <w:jc w:val="right"/>
              <w:rPr>
                <w:color w:val="000000"/>
                <w:sz w:val="22"/>
                <w:szCs w:val="22"/>
              </w:rPr>
            </w:pPr>
            <w:r w:rsidRPr="00C13B9E">
              <w:rPr>
                <w:color w:val="000000"/>
                <w:sz w:val="22"/>
                <w:szCs w:val="22"/>
              </w:rPr>
              <w:t>2.677,27</w:t>
            </w:r>
          </w:p>
        </w:tc>
        <w:tc>
          <w:tcPr>
            <w:tcW w:w="1144" w:type="dxa"/>
            <w:shd w:val="clear" w:color="auto" w:fill="auto"/>
            <w:vAlign w:val="center"/>
          </w:tcPr>
          <w:p w:rsidR="007E0B96" w:rsidRPr="00C13B9E" w:rsidRDefault="007E0B96" w:rsidP="007E0B96">
            <w:pPr>
              <w:suppressAutoHyphens w:val="0"/>
              <w:jc w:val="right"/>
              <w:rPr>
                <w:color w:val="000000"/>
                <w:sz w:val="22"/>
                <w:szCs w:val="22"/>
              </w:rPr>
            </w:pPr>
            <w:r w:rsidRPr="00C13B9E">
              <w:rPr>
                <w:color w:val="000000"/>
                <w:sz w:val="22"/>
                <w:szCs w:val="22"/>
              </w:rPr>
              <w:t>2.740,72</w:t>
            </w:r>
          </w:p>
        </w:tc>
        <w:tc>
          <w:tcPr>
            <w:tcW w:w="1273" w:type="dxa"/>
            <w:shd w:val="clear" w:color="auto" w:fill="auto"/>
            <w:vAlign w:val="center"/>
          </w:tcPr>
          <w:p w:rsidR="007E0B96" w:rsidRPr="00C13B9E" w:rsidRDefault="007E0B96" w:rsidP="007E0B96">
            <w:pPr>
              <w:suppressAutoHyphens w:val="0"/>
              <w:jc w:val="right"/>
              <w:rPr>
                <w:color w:val="000000"/>
                <w:sz w:val="22"/>
                <w:szCs w:val="22"/>
              </w:rPr>
            </w:pPr>
            <w:r w:rsidRPr="00C13B9E">
              <w:rPr>
                <w:color w:val="000000"/>
                <w:sz w:val="22"/>
                <w:szCs w:val="22"/>
              </w:rPr>
              <w:t>2.997,23</w:t>
            </w:r>
          </w:p>
        </w:tc>
      </w:tr>
    </w:tbl>
    <w:p w:rsidR="002D49CC" w:rsidRPr="00533C62" w:rsidRDefault="002D49CC" w:rsidP="00E01B9B">
      <w:pPr>
        <w:spacing w:line="276" w:lineRule="auto"/>
        <w:ind w:firstLine="1417"/>
        <w:jc w:val="both"/>
      </w:pPr>
      <w:r w:rsidRPr="00533C62">
        <w:rPr>
          <w:b/>
        </w:rPr>
        <w:t xml:space="preserve">Parágrafo Único. </w:t>
      </w:r>
      <w:r w:rsidRPr="00533C62">
        <w:t>As atribuições dos cargos cons</w:t>
      </w:r>
      <w:r w:rsidR="00E01B9B" w:rsidRPr="00533C62">
        <w:t>tam no anexo I da presente Lei.</w:t>
      </w:r>
    </w:p>
    <w:p w:rsidR="002D49CC" w:rsidRPr="00EA2224" w:rsidRDefault="002D49CC" w:rsidP="00E01B9B">
      <w:pPr>
        <w:spacing w:line="276" w:lineRule="auto"/>
        <w:ind w:firstLine="1418"/>
        <w:jc w:val="both"/>
      </w:pPr>
      <w:r w:rsidRPr="00533C62">
        <w:rPr>
          <w:b/>
        </w:rPr>
        <w:t xml:space="preserve">Art. 3º </w:t>
      </w:r>
      <w:r w:rsidRPr="00533C62">
        <w:rPr>
          <w:bCs/>
        </w:rPr>
        <w:t xml:space="preserve">A contratação será de natureza administrativa, na forma do arts. 235 a 238, da Lei Municipal </w:t>
      </w:r>
      <w:r w:rsidRPr="00EA2224">
        <w:rPr>
          <w:bCs/>
        </w:rPr>
        <w:t>nº 1.178/03 e alterações, sendo assegurado ao contratado os direitos estabelecidos na mesma Lei.</w:t>
      </w:r>
    </w:p>
    <w:p w:rsidR="00DF5E2D" w:rsidRPr="007E0B96" w:rsidRDefault="002D49CC" w:rsidP="00EA2224">
      <w:pPr>
        <w:ind w:firstLine="1425"/>
        <w:jc w:val="both"/>
      </w:pPr>
      <w:r w:rsidRPr="00506AA3">
        <w:rPr>
          <w:b/>
        </w:rPr>
        <w:t xml:space="preserve">Art. 4º </w:t>
      </w:r>
      <w:r w:rsidR="00034E2E" w:rsidRPr="00506AA3">
        <w:t>A</w:t>
      </w:r>
      <w:r w:rsidR="00EA2224" w:rsidRPr="00506AA3">
        <w:t xml:space="preserve"> </w:t>
      </w:r>
      <w:r w:rsidR="00034E2E" w:rsidRPr="00506AA3">
        <w:t>contratação</w:t>
      </w:r>
      <w:r w:rsidRPr="00506AA3">
        <w:t xml:space="preserve"> </w:t>
      </w:r>
      <w:r w:rsidR="00506AA3" w:rsidRPr="00506AA3">
        <w:t>de que trata esta lei</w:t>
      </w:r>
      <w:r w:rsidR="00EA2224" w:rsidRPr="00506AA3">
        <w:t xml:space="preserve"> </w:t>
      </w:r>
      <w:r w:rsidRPr="00506AA3">
        <w:t xml:space="preserve">será mediante </w:t>
      </w:r>
      <w:r w:rsidR="00DF5E2D" w:rsidRPr="00506AA3">
        <w:t xml:space="preserve">utilização da classificação </w:t>
      </w:r>
      <w:r w:rsidR="00CF2BFD">
        <w:t xml:space="preserve">remanescente </w:t>
      </w:r>
      <w:r w:rsidR="00DF5E2D" w:rsidRPr="00506AA3">
        <w:t xml:space="preserve">do Concurso Público </w:t>
      </w:r>
      <w:r w:rsidR="00DF5E2D" w:rsidRPr="007E0B96">
        <w:t>nº01/</w:t>
      </w:r>
      <w:r w:rsidR="007E0B96" w:rsidRPr="007E0B96">
        <w:t>2025</w:t>
      </w:r>
      <w:r w:rsidR="00313CD0" w:rsidRPr="007E0B96">
        <w:t>.</w:t>
      </w:r>
    </w:p>
    <w:p w:rsidR="007E0B96" w:rsidRDefault="00EA2224" w:rsidP="007E0B96">
      <w:pPr>
        <w:ind w:firstLine="1425"/>
        <w:jc w:val="both"/>
        <w:rPr>
          <w:sz w:val="23"/>
          <w:szCs w:val="23"/>
        </w:rPr>
      </w:pPr>
      <w:r w:rsidRPr="007E0B96">
        <w:rPr>
          <w:b/>
        </w:rPr>
        <w:t>Parágrafo Único.</w:t>
      </w:r>
      <w:r w:rsidRPr="007E0B96">
        <w:t xml:space="preserve"> Na </w:t>
      </w:r>
      <w:r w:rsidRPr="007E0B96">
        <w:rPr>
          <w:sz w:val="23"/>
          <w:szCs w:val="23"/>
        </w:rPr>
        <w:t>recusa de contratação por parte dos classificados no concurso conforme caput deste artigo,</w:t>
      </w:r>
      <w:r w:rsidR="007E0B96" w:rsidRPr="007E0B96">
        <w:rPr>
          <w:sz w:val="23"/>
          <w:szCs w:val="23"/>
        </w:rPr>
        <w:t xml:space="preserve"> será realizado processo seletivo simplificado, </w:t>
      </w:r>
      <w:r w:rsidR="007E0B96" w:rsidRPr="007E0B96">
        <w:t>respeitados os princípios constitucionais e regido por normas estabelecidas em Edital</w:t>
      </w:r>
    </w:p>
    <w:p w:rsidR="002D49CC" w:rsidRPr="00533C62" w:rsidRDefault="002D49CC" w:rsidP="00E01B9B">
      <w:pPr>
        <w:ind w:firstLine="1425"/>
        <w:jc w:val="both"/>
      </w:pPr>
      <w:r w:rsidRPr="00EA2224">
        <w:rPr>
          <w:b/>
        </w:rPr>
        <w:t>Art. 5º</w:t>
      </w:r>
      <w:r w:rsidRPr="00EA2224">
        <w:t xml:space="preserve"> </w:t>
      </w:r>
      <w:r w:rsidRPr="00EA2224">
        <w:rPr>
          <w:bCs/>
        </w:rPr>
        <w:t>As despesas decorrentes desta Lei correrão por conta das pertinentes dotações orçamentárias da Secretaria de Locação</w:t>
      </w:r>
      <w:r w:rsidRPr="00533C62">
        <w:rPr>
          <w:bCs/>
        </w:rPr>
        <w:t>.</w:t>
      </w:r>
    </w:p>
    <w:p w:rsidR="002D49CC" w:rsidRPr="00533C62" w:rsidRDefault="00FA20D3">
      <w:pPr>
        <w:ind w:firstLine="1425"/>
        <w:jc w:val="both"/>
      </w:pPr>
      <w:r>
        <w:rPr>
          <w:b/>
        </w:rPr>
        <w:t>Art. 6</w:t>
      </w:r>
      <w:r w:rsidR="002D49CC" w:rsidRPr="00533C62">
        <w:rPr>
          <w:b/>
        </w:rPr>
        <w:t>º</w:t>
      </w:r>
      <w:r w:rsidR="002D49CC" w:rsidRPr="00533C62">
        <w:t xml:space="preserve"> </w:t>
      </w:r>
      <w:r>
        <w:t>E</w:t>
      </w:r>
      <w:r w:rsidR="002D49CC" w:rsidRPr="00533C62">
        <w:t>sta Lei entra em vigor na data de sua publicação.</w:t>
      </w:r>
    </w:p>
    <w:p w:rsidR="002D49CC" w:rsidRPr="00533C62" w:rsidRDefault="002D49CC">
      <w:pPr>
        <w:ind w:firstLine="1425"/>
        <w:jc w:val="both"/>
      </w:pPr>
    </w:p>
    <w:p w:rsidR="002D49CC" w:rsidRPr="00533C62" w:rsidRDefault="002D49CC">
      <w:pPr>
        <w:ind w:firstLine="1425"/>
        <w:jc w:val="both"/>
      </w:pPr>
      <w:r w:rsidRPr="00533C62">
        <w:rPr>
          <w:bCs/>
        </w:rPr>
        <w:t xml:space="preserve">Gabinete do Prefeito de Alpestre, ao </w:t>
      </w:r>
      <w:r w:rsidR="002D5806">
        <w:rPr>
          <w:bCs/>
        </w:rPr>
        <w:t>26</w:t>
      </w:r>
      <w:r w:rsidRPr="00533C62">
        <w:rPr>
          <w:bCs/>
        </w:rPr>
        <w:t xml:space="preserve"> dia</w:t>
      </w:r>
      <w:r w:rsidR="00533C62" w:rsidRPr="00533C62">
        <w:rPr>
          <w:bCs/>
        </w:rPr>
        <w:t>s</w:t>
      </w:r>
      <w:r w:rsidRPr="00533C62">
        <w:rPr>
          <w:bCs/>
        </w:rPr>
        <w:t xml:space="preserve"> do mês de </w:t>
      </w:r>
      <w:r w:rsidR="00533C62" w:rsidRPr="00533C62">
        <w:rPr>
          <w:bCs/>
        </w:rPr>
        <w:t>janeiro de 202</w:t>
      </w:r>
      <w:r w:rsidR="00A566B1">
        <w:rPr>
          <w:bCs/>
        </w:rPr>
        <w:t>6</w:t>
      </w:r>
      <w:r w:rsidRPr="00533C62">
        <w:rPr>
          <w:bCs/>
        </w:rPr>
        <w:t>.</w:t>
      </w:r>
    </w:p>
    <w:p w:rsidR="002D49CC" w:rsidRPr="00533C62" w:rsidRDefault="002D49CC">
      <w:pPr>
        <w:jc w:val="both"/>
        <w:rPr>
          <w:bCs/>
        </w:rPr>
      </w:pPr>
    </w:p>
    <w:p w:rsidR="002D49CC" w:rsidRPr="00533C62" w:rsidRDefault="002D49CC">
      <w:pPr>
        <w:spacing w:line="276" w:lineRule="auto"/>
        <w:jc w:val="center"/>
        <w:rPr>
          <w:bCs/>
        </w:rPr>
      </w:pPr>
    </w:p>
    <w:p w:rsidR="002D49CC" w:rsidRPr="00533C62" w:rsidRDefault="00FA20D3">
      <w:pPr>
        <w:spacing w:line="276" w:lineRule="auto"/>
        <w:jc w:val="center"/>
      </w:pPr>
      <w:r>
        <w:rPr>
          <w:b/>
          <w:bCs/>
        </w:rPr>
        <w:t>RUDIMAR ARGENTON</w:t>
      </w:r>
    </w:p>
    <w:p w:rsidR="002D49CC" w:rsidRPr="00533C62" w:rsidRDefault="002D49CC">
      <w:pPr>
        <w:spacing w:line="276" w:lineRule="auto"/>
        <w:jc w:val="center"/>
      </w:pPr>
      <w:r w:rsidRPr="00533C62">
        <w:rPr>
          <w:bCs/>
        </w:rPr>
        <w:t>Prefeito Municipal</w:t>
      </w:r>
    </w:p>
    <w:p w:rsidR="002D49CC" w:rsidRDefault="002D49CC">
      <w:pPr>
        <w:spacing w:line="276" w:lineRule="auto"/>
        <w:jc w:val="center"/>
        <w:rPr>
          <w:bCs/>
        </w:rPr>
      </w:pPr>
    </w:p>
    <w:p w:rsidR="00FA20D3" w:rsidRDefault="00FA20D3">
      <w:pPr>
        <w:spacing w:line="276" w:lineRule="auto"/>
        <w:jc w:val="center"/>
        <w:rPr>
          <w:bCs/>
        </w:rPr>
      </w:pPr>
    </w:p>
    <w:p w:rsidR="007E0B96" w:rsidRDefault="007E0B96">
      <w:pPr>
        <w:spacing w:line="276" w:lineRule="auto"/>
        <w:jc w:val="center"/>
        <w:rPr>
          <w:bCs/>
        </w:rPr>
      </w:pPr>
    </w:p>
    <w:p w:rsidR="007E0B96" w:rsidRDefault="007E0B96">
      <w:pPr>
        <w:spacing w:line="276" w:lineRule="auto"/>
        <w:jc w:val="center"/>
        <w:rPr>
          <w:bCs/>
        </w:rPr>
      </w:pPr>
    </w:p>
    <w:p w:rsidR="007E0B96" w:rsidRDefault="007E0B96">
      <w:pPr>
        <w:spacing w:line="276" w:lineRule="auto"/>
        <w:jc w:val="center"/>
        <w:rPr>
          <w:bCs/>
        </w:rPr>
      </w:pPr>
    </w:p>
    <w:p w:rsidR="008879C9" w:rsidRDefault="008879C9">
      <w:pPr>
        <w:spacing w:line="276" w:lineRule="auto"/>
        <w:jc w:val="center"/>
        <w:rPr>
          <w:bCs/>
        </w:rPr>
      </w:pPr>
    </w:p>
    <w:p w:rsidR="008879C9" w:rsidRDefault="008879C9">
      <w:pPr>
        <w:spacing w:line="276" w:lineRule="auto"/>
        <w:jc w:val="center"/>
        <w:rPr>
          <w:bCs/>
        </w:rPr>
      </w:pPr>
    </w:p>
    <w:p w:rsidR="007E0B96" w:rsidRDefault="007E0B96">
      <w:pPr>
        <w:spacing w:line="276" w:lineRule="auto"/>
        <w:jc w:val="center"/>
        <w:rPr>
          <w:bCs/>
        </w:rPr>
      </w:pPr>
    </w:p>
    <w:p w:rsidR="007E0B96" w:rsidRDefault="007E0B96">
      <w:pPr>
        <w:spacing w:line="276" w:lineRule="auto"/>
        <w:jc w:val="center"/>
        <w:rPr>
          <w:bCs/>
        </w:rPr>
      </w:pPr>
    </w:p>
    <w:p w:rsidR="002D5806" w:rsidRDefault="002D5806">
      <w:pPr>
        <w:spacing w:line="276" w:lineRule="auto"/>
        <w:jc w:val="center"/>
        <w:rPr>
          <w:bCs/>
        </w:rPr>
      </w:pPr>
    </w:p>
    <w:p w:rsidR="002D49CC" w:rsidRDefault="002D49CC">
      <w:pPr>
        <w:spacing w:line="276" w:lineRule="auto"/>
        <w:jc w:val="center"/>
      </w:pPr>
      <w:r>
        <w:rPr>
          <w:b/>
          <w:bCs/>
        </w:rPr>
        <w:lastRenderedPageBreak/>
        <w:t>ANEXO I</w:t>
      </w:r>
    </w:p>
    <w:p w:rsidR="002D49CC" w:rsidRDefault="002D49CC">
      <w:pPr>
        <w:spacing w:line="276" w:lineRule="auto"/>
        <w:jc w:val="center"/>
      </w:pPr>
      <w:r>
        <w:rPr>
          <w:b/>
          <w:bCs/>
        </w:rPr>
        <w:t>ATRIBUIÇÕES E REQUISITOS DE PROVIMENTO</w:t>
      </w:r>
    </w:p>
    <w:p w:rsidR="002D49CC" w:rsidRDefault="002D49CC">
      <w:pPr>
        <w:spacing w:line="276" w:lineRule="auto"/>
        <w:jc w:val="center"/>
        <w:rPr>
          <w:sz w:val="17"/>
          <w:szCs w:val="17"/>
        </w:rPr>
      </w:pPr>
    </w:p>
    <w:tbl>
      <w:tblPr>
        <w:tblW w:w="0" w:type="auto"/>
        <w:tblInd w:w="108" w:type="dxa"/>
        <w:tblLayout w:type="fixed"/>
        <w:tblLook w:val="0000" w:firstRow="0" w:lastRow="0" w:firstColumn="0" w:lastColumn="0" w:noHBand="0" w:noVBand="0"/>
      </w:tblPr>
      <w:tblGrid>
        <w:gridCol w:w="1650"/>
        <w:gridCol w:w="1575"/>
        <w:gridCol w:w="5932"/>
      </w:tblGrid>
      <w:tr w:rsidR="002D49C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
                <w:color w:val="000000"/>
                <w:sz w:val="20"/>
                <w:szCs w:val="20"/>
                <w:lang w:eastAsia="en-US"/>
              </w:rPr>
              <w:t>CARGO</w:t>
            </w:r>
          </w:p>
        </w:tc>
        <w:tc>
          <w:tcPr>
            <w:tcW w:w="7507" w:type="dxa"/>
            <w:gridSpan w:val="2"/>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
                <w:bCs/>
                <w:color w:val="000000"/>
                <w:sz w:val="20"/>
                <w:szCs w:val="20"/>
                <w:lang w:eastAsia="en-US"/>
              </w:rPr>
              <w:t>PROFESSOR</w:t>
            </w:r>
          </w:p>
        </w:tc>
      </w:tr>
      <w:tr w:rsidR="002D49C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
                <w:color w:val="000000"/>
                <w:sz w:val="20"/>
                <w:szCs w:val="20"/>
                <w:lang w:eastAsia="en-US"/>
              </w:rPr>
              <w:t>ATRIBUIÇÕES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r>
              <w:rPr>
                <w:rFonts w:eastAsia="Calibri"/>
                <w:b/>
                <w:color w:val="111111"/>
                <w:sz w:val="20"/>
                <w:szCs w:val="20"/>
              </w:rPr>
              <w:t>Síntese dos Deveres</w:t>
            </w:r>
          </w:p>
        </w:tc>
        <w:tc>
          <w:tcPr>
            <w:tcW w:w="5932"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tabs>
                <w:tab w:val="left" w:pos="1134"/>
                <w:tab w:val="left" w:pos="4253"/>
              </w:tabs>
              <w:jc w:val="both"/>
            </w:pPr>
            <w:r>
              <w:rPr>
                <w:rFonts w:eastAsia="Calibri"/>
                <w:color w:val="000000"/>
                <w:sz w:val="20"/>
                <w:szCs w:val="20"/>
                <w:lang w:eastAsia="en-US"/>
              </w:rPr>
              <w:t>Participar do processo de planejamento e elaboração da proposta pedagógica da escola; orientar a aprendizagem dos alunos; organizar as operações inerentes ao processo ensino-aprendizagem; contribuir para o aprimoramento da qualidade do ensino.</w:t>
            </w:r>
          </w:p>
        </w:tc>
      </w:tr>
      <w:tr w:rsidR="002D49CC">
        <w:tc>
          <w:tcPr>
            <w:tcW w:w="1650" w:type="dxa"/>
            <w:vMerge/>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snapToGrid w:val="0"/>
              <w:rPr>
                <w:rFonts w:eastAsia="Calibri"/>
                <w:b/>
                <w:color w:val="000000"/>
                <w:sz w:val="20"/>
                <w:szCs w:val="20"/>
                <w:lang w:eastAsia="en-US"/>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r>
              <w:rPr>
                <w:rFonts w:eastAsia="Calibri"/>
                <w:b/>
                <w:color w:val="111111"/>
                <w:sz w:val="20"/>
                <w:szCs w:val="20"/>
              </w:rPr>
              <w:t>Exemplos de Atribuições</w:t>
            </w:r>
          </w:p>
        </w:tc>
        <w:tc>
          <w:tcPr>
            <w:tcW w:w="5932"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tabs>
                <w:tab w:val="left" w:pos="1134"/>
                <w:tab w:val="left" w:pos="4253"/>
              </w:tabs>
              <w:jc w:val="both"/>
            </w:pPr>
            <w:r>
              <w:rPr>
                <w:bCs/>
                <w:color w:val="111111"/>
                <w:sz w:val="20"/>
                <w:szCs w:val="20"/>
                <w:lang w:eastAsia="pt-BR"/>
              </w:rPr>
              <w:t>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político-pedagógico; integrar órgãos complementares da escola; executar tarefas afins com a educação.</w:t>
            </w:r>
          </w:p>
        </w:tc>
      </w:tr>
      <w:tr w:rsidR="002D49CC">
        <w:trPr>
          <w:trHeight w:val="480"/>
        </w:trPr>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
                <w:color w:val="000000"/>
                <w:sz w:val="20"/>
                <w:szCs w:val="20"/>
                <w:lang w:eastAsia="en-US"/>
              </w:rPr>
              <w:t>CONDIÇÕES DE TRABALHO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
                <w:color w:val="000000"/>
                <w:sz w:val="20"/>
                <w:szCs w:val="20"/>
                <w:lang w:eastAsia="en-US"/>
              </w:rPr>
              <w:t>Geral</w:t>
            </w:r>
          </w:p>
        </w:tc>
        <w:tc>
          <w:tcPr>
            <w:tcW w:w="5932"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Cs/>
                <w:color w:val="000000"/>
                <w:sz w:val="20"/>
                <w:szCs w:val="20"/>
                <w:lang w:eastAsia="en-US"/>
              </w:rPr>
              <w:t>Carga horária semanal de 22 horas</w:t>
            </w:r>
          </w:p>
        </w:tc>
      </w:tr>
      <w:tr w:rsidR="002D49C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
                <w:color w:val="000000"/>
                <w:sz w:val="20"/>
                <w:szCs w:val="20"/>
                <w:lang w:eastAsia="en-US"/>
              </w:rPr>
              <w:t>REQUISITOS PARA PROVIMENTO</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
                <w:color w:val="000000"/>
                <w:sz w:val="20"/>
                <w:szCs w:val="20"/>
                <w:lang w:eastAsia="en-US"/>
              </w:rPr>
              <w:t>Idade Mínima</w:t>
            </w:r>
          </w:p>
        </w:tc>
        <w:tc>
          <w:tcPr>
            <w:tcW w:w="5932" w:type="dxa"/>
            <w:tcBorders>
              <w:top w:val="single" w:sz="4" w:space="0" w:color="000000"/>
              <w:left w:val="single" w:sz="4" w:space="0" w:color="000000"/>
              <w:bottom w:val="single" w:sz="4" w:space="0" w:color="000000"/>
              <w:right w:val="single" w:sz="4" w:space="0" w:color="000000"/>
            </w:tcBorders>
            <w:shd w:val="clear" w:color="auto" w:fill="auto"/>
          </w:tcPr>
          <w:p w:rsidR="002D49CC" w:rsidRDefault="002D49CC">
            <w:pPr>
              <w:widowControl w:val="0"/>
            </w:pPr>
            <w:r>
              <w:rPr>
                <w:rFonts w:eastAsia="Calibri"/>
                <w:bCs/>
                <w:color w:val="000000"/>
                <w:sz w:val="20"/>
                <w:szCs w:val="20"/>
                <w:lang w:eastAsia="en-US"/>
              </w:rPr>
              <w:t>18 anos</w:t>
            </w:r>
          </w:p>
        </w:tc>
      </w:tr>
      <w:tr w:rsidR="002D49CC" w:rsidTr="00086ED4">
        <w:tc>
          <w:tcPr>
            <w:tcW w:w="1650" w:type="dxa"/>
            <w:vMerge/>
            <w:tcBorders>
              <w:top w:val="single" w:sz="4" w:space="0" w:color="000000"/>
              <w:left w:val="single" w:sz="4" w:space="0" w:color="000000"/>
              <w:bottom w:val="single" w:sz="4" w:space="0" w:color="auto"/>
              <w:right w:val="single" w:sz="4" w:space="0" w:color="000000"/>
            </w:tcBorders>
            <w:shd w:val="clear" w:color="auto" w:fill="auto"/>
          </w:tcPr>
          <w:p w:rsidR="002D49CC" w:rsidRDefault="002D49CC">
            <w:pPr>
              <w:widowControl w:val="0"/>
              <w:snapToGrid w:val="0"/>
              <w:rPr>
                <w:rFonts w:eastAsia="Calibri"/>
                <w:b/>
                <w:color w:val="000000"/>
                <w:sz w:val="20"/>
                <w:szCs w:val="20"/>
                <w:lang w:eastAsia="en-US"/>
              </w:rPr>
            </w:pPr>
          </w:p>
        </w:tc>
        <w:tc>
          <w:tcPr>
            <w:tcW w:w="1575" w:type="dxa"/>
            <w:tcBorders>
              <w:top w:val="single" w:sz="4" w:space="0" w:color="000000"/>
              <w:left w:val="single" w:sz="4" w:space="0" w:color="000000"/>
              <w:bottom w:val="single" w:sz="4" w:space="0" w:color="auto"/>
              <w:right w:val="single" w:sz="4" w:space="0" w:color="000000"/>
            </w:tcBorders>
            <w:shd w:val="clear" w:color="auto" w:fill="auto"/>
          </w:tcPr>
          <w:p w:rsidR="002D49CC" w:rsidRDefault="002D49CC">
            <w:pPr>
              <w:widowControl w:val="0"/>
            </w:pPr>
            <w:r>
              <w:rPr>
                <w:rFonts w:eastAsia="Calibri"/>
                <w:b/>
                <w:color w:val="000000"/>
                <w:sz w:val="20"/>
                <w:szCs w:val="20"/>
                <w:lang w:eastAsia="en-US"/>
              </w:rPr>
              <w:t>Instrução</w:t>
            </w:r>
          </w:p>
        </w:tc>
        <w:tc>
          <w:tcPr>
            <w:tcW w:w="5932" w:type="dxa"/>
            <w:tcBorders>
              <w:top w:val="single" w:sz="4" w:space="0" w:color="000000"/>
              <w:left w:val="single" w:sz="4" w:space="0" w:color="000000"/>
              <w:bottom w:val="single" w:sz="4" w:space="0" w:color="auto"/>
              <w:right w:val="single" w:sz="4" w:space="0" w:color="000000"/>
            </w:tcBorders>
            <w:shd w:val="clear" w:color="auto" w:fill="auto"/>
          </w:tcPr>
          <w:p w:rsidR="002D49CC" w:rsidRDefault="002D49CC">
            <w:pPr>
              <w:tabs>
                <w:tab w:val="left" w:pos="9072"/>
                <w:tab w:val="left" w:pos="12191"/>
              </w:tabs>
              <w:jc w:val="both"/>
            </w:pPr>
            <w:r>
              <w:rPr>
                <w:sz w:val="20"/>
                <w:szCs w:val="20"/>
              </w:rPr>
              <w:t>Para a docência na Educação Infantil:</w:t>
            </w:r>
            <w:r>
              <w:rPr>
                <w:b/>
                <w:sz w:val="20"/>
                <w:szCs w:val="20"/>
              </w:rPr>
              <w:t xml:space="preserve"> </w:t>
            </w:r>
            <w:r>
              <w:rPr>
                <w:sz w:val="20"/>
                <w:szCs w:val="20"/>
              </w:rPr>
              <w:t xml:space="preserve">Curso Superior de Licenciatura Plena, com formação para educação infantil; </w:t>
            </w:r>
          </w:p>
          <w:p w:rsidR="002D49CC" w:rsidRDefault="002D49CC">
            <w:pPr>
              <w:tabs>
                <w:tab w:val="left" w:pos="9072"/>
                <w:tab w:val="left" w:pos="12191"/>
              </w:tabs>
              <w:jc w:val="both"/>
              <w:rPr>
                <w:sz w:val="20"/>
                <w:szCs w:val="20"/>
              </w:rPr>
            </w:pPr>
          </w:p>
          <w:p w:rsidR="002D49CC" w:rsidRDefault="002D49CC">
            <w:pPr>
              <w:tabs>
                <w:tab w:val="left" w:pos="9072"/>
                <w:tab w:val="left" w:pos="12191"/>
              </w:tabs>
              <w:jc w:val="both"/>
            </w:pPr>
            <w:r>
              <w:rPr>
                <w:sz w:val="20"/>
                <w:szCs w:val="20"/>
              </w:rPr>
              <w:t>Para a docência nas Séries ou Anos iniciais do Ensino Fundamental: Curso Superior de Licenciatura Plena, com formação para séries ou anos iniciais do Ensino Fundamental;</w:t>
            </w:r>
          </w:p>
          <w:p w:rsidR="002D49CC" w:rsidRDefault="002D49CC">
            <w:pPr>
              <w:tabs>
                <w:tab w:val="left" w:pos="9072"/>
                <w:tab w:val="left" w:pos="12191"/>
              </w:tabs>
              <w:jc w:val="both"/>
              <w:rPr>
                <w:sz w:val="20"/>
                <w:szCs w:val="20"/>
              </w:rPr>
            </w:pPr>
          </w:p>
          <w:p w:rsidR="002D49CC" w:rsidRDefault="002D49CC" w:rsidP="00086ED4">
            <w:pPr>
              <w:tabs>
                <w:tab w:val="left" w:pos="9072"/>
                <w:tab w:val="left" w:pos="12191"/>
              </w:tabs>
              <w:jc w:val="both"/>
              <w:rPr>
                <w:rFonts w:eastAsia="Calibri"/>
                <w:bCs/>
                <w:color w:val="111111"/>
                <w:sz w:val="20"/>
                <w:szCs w:val="20"/>
                <w:lang w:eastAsia="en-US"/>
              </w:rPr>
            </w:pPr>
            <w:r>
              <w:rPr>
                <w:rFonts w:eastAsia="Calibri"/>
                <w:color w:val="111111"/>
                <w:sz w:val="20"/>
                <w:szCs w:val="20"/>
                <w:lang w:eastAsia="en-US"/>
              </w:rPr>
              <w:t>Pa</w:t>
            </w:r>
            <w:r>
              <w:rPr>
                <w:rFonts w:eastAsia="Calibri"/>
                <w:bCs/>
                <w:color w:val="111111"/>
                <w:sz w:val="20"/>
                <w:szCs w:val="20"/>
                <w:lang w:eastAsia="en-US"/>
              </w:rPr>
              <w:t>ra a docência nas Séries ou Anos Finais do Ensino Fundamental e nas áreas em que é estabelecida esta demanda:</w:t>
            </w:r>
            <w:r>
              <w:rPr>
                <w:rFonts w:eastAsia="Calibri"/>
                <w:b/>
                <w:bCs/>
                <w:color w:val="111111"/>
                <w:sz w:val="20"/>
                <w:szCs w:val="20"/>
                <w:lang w:eastAsia="en-US"/>
              </w:rPr>
              <w:t xml:space="preserve"> </w:t>
            </w:r>
            <w:r>
              <w:rPr>
                <w:rFonts w:eastAsia="Calibri"/>
                <w:bCs/>
                <w:color w:val="111111"/>
                <w:sz w:val="20"/>
                <w:szCs w:val="20"/>
                <w:lang w:eastAsia="en-US"/>
              </w:rPr>
              <w:t>Curso Superior de Licenciatura Plena, com formação para as disciplinas respectivas ou formação superior em área correspondente e formação pedagógica, nos termos do artigo 63 da Lei nº 9.394/96 e demais legislações vigentes.</w:t>
            </w:r>
          </w:p>
        </w:tc>
      </w:tr>
    </w:tbl>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tabs>
          <w:tab w:val="left" w:pos="9072"/>
          <w:tab w:val="left" w:pos="12191"/>
        </w:tabs>
        <w:jc w:val="both"/>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2D49CC" w:rsidRDefault="002D49CC">
      <w:pPr>
        <w:spacing w:line="276" w:lineRule="auto"/>
        <w:jc w:val="center"/>
        <w:rPr>
          <w:sz w:val="17"/>
          <w:szCs w:val="17"/>
        </w:rPr>
      </w:pPr>
    </w:p>
    <w:p w:rsidR="008879C9" w:rsidRDefault="008879C9">
      <w:pPr>
        <w:spacing w:line="276" w:lineRule="auto"/>
        <w:jc w:val="center"/>
        <w:rPr>
          <w:sz w:val="17"/>
          <w:szCs w:val="17"/>
        </w:rPr>
      </w:pPr>
    </w:p>
    <w:p w:rsidR="008879C9" w:rsidRDefault="008879C9">
      <w:pPr>
        <w:spacing w:line="276" w:lineRule="auto"/>
        <w:jc w:val="center"/>
        <w:rPr>
          <w:sz w:val="17"/>
          <w:szCs w:val="17"/>
        </w:rPr>
      </w:pPr>
    </w:p>
    <w:p w:rsidR="008879C9" w:rsidRDefault="008879C9">
      <w:pPr>
        <w:spacing w:line="276" w:lineRule="auto"/>
        <w:jc w:val="center"/>
        <w:rPr>
          <w:sz w:val="17"/>
          <w:szCs w:val="17"/>
        </w:rPr>
      </w:pPr>
    </w:p>
    <w:p w:rsidR="008879C9" w:rsidRDefault="008879C9">
      <w:pPr>
        <w:spacing w:line="276" w:lineRule="auto"/>
        <w:jc w:val="center"/>
        <w:rPr>
          <w:sz w:val="17"/>
          <w:szCs w:val="17"/>
        </w:rPr>
      </w:pPr>
    </w:p>
    <w:p w:rsidR="008879C9" w:rsidRDefault="008879C9">
      <w:pPr>
        <w:spacing w:line="276" w:lineRule="auto"/>
        <w:jc w:val="center"/>
        <w:rPr>
          <w:sz w:val="17"/>
          <w:szCs w:val="17"/>
        </w:rPr>
      </w:pPr>
    </w:p>
    <w:p w:rsidR="008879C9" w:rsidRDefault="008879C9">
      <w:pPr>
        <w:spacing w:line="276" w:lineRule="auto"/>
        <w:jc w:val="center"/>
        <w:rPr>
          <w:sz w:val="17"/>
          <w:szCs w:val="17"/>
        </w:rPr>
      </w:pPr>
    </w:p>
    <w:p w:rsidR="008879C9" w:rsidRDefault="008879C9">
      <w:pPr>
        <w:spacing w:line="276" w:lineRule="auto"/>
        <w:jc w:val="center"/>
        <w:rPr>
          <w:sz w:val="17"/>
          <w:szCs w:val="17"/>
        </w:rPr>
      </w:pPr>
    </w:p>
    <w:p w:rsidR="002D49CC" w:rsidRDefault="00A566B1" w:rsidP="008879C9">
      <w:pPr>
        <w:jc w:val="center"/>
      </w:pPr>
      <w:r>
        <w:rPr>
          <w:b/>
        </w:rPr>
        <w:t>EXPOSIÇÃO DEMOTIVOS</w:t>
      </w:r>
    </w:p>
    <w:p w:rsidR="008879C9" w:rsidRDefault="008879C9" w:rsidP="008879C9">
      <w:pPr>
        <w:ind w:left="1416"/>
        <w:jc w:val="both"/>
      </w:pPr>
    </w:p>
    <w:p w:rsidR="002D49CC" w:rsidRPr="008879C9" w:rsidRDefault="00A566B1" w:rsidP="008879C9">
      <w:pPr>
        <w:ind w:left="1416"/>
        <w:jc w:val="both"/>
        <w:rPr>
          <w:sz w:val="23"/>
          <w:szCs w:val="23"/>
        </w:rPr>
      </w:pPr>
      <w:r w:rsidRPr="008879C9">
        <w:rPr>
          <w:sz w:val="23"/>
          <w:szCs w:val="23"/>
        </w:rPr>
        <w:t>Senhora</w:t>
      </w:r>
      <w:r w:rsidR="002D49CC" w:rsidRPr="008879C9">
        <w:rPr>
          <w:sz w:val="23"/>
          <w:szCs w:val="23"/>
        </w:rPr>
        <w:t xml:space="preserve"> Presidente</w:t>
      </w:r>
    </w:p>
    <w:p w:rsidR="008879C9" w:rsidRPr="008879C9" w:rsidRDefault="008879C9" w:rsidP="008879C9">
      <w:pPr>
        <w:ind w:left="1416"/>
        <w:jc w:val="both"/>
        <w:rPr>
          <w:sz w:val="23"/>
          <w:szCs w:val="23"/>
        </w:rPr>
      </w:pPr>
    </w:p>
    <w:p w:rsidR="002D49CC" w:rsidRPr="008879C9" w:rsidRDefault="002D49CC" w:rsidP="008879C9">
      <w:pPr>
        <w:ind w:left="1416"/>
        <w:jc w:val="both"/>
        <w:rPr>
          <w:sz w:val="23"/>
          <w:szCs w:val="23"/>
        </w:rPr>
      </w:pPr>
      <w:r w:rsidRPr="008879C9">
        <w:rPr>
          <w:sz w:val="23"/>
          <w:szCs w:val="23"/>
        </w:rPr>
        <w:t xml:space="preserve">Senhores Vereadores </w:t>
      </w:r>
    </w:p>
    <w:p w:rsidR="002D49CC" w:rsidRPr="008879C9" w:rsidRDefault="002D49CC" w:rsidP="008879C9">
      <w:pPr>
        <w:jc w:val="both"/>
        <w:rPr>
          <w:sz w:val="22"/>
          <w:szCs w:val="22"/>
        </w:rPr>
      </w:pPr>
    </w:p>
    <w:p w:rsidR="00C13B9E" w:rsidRPr="002D5806" w:rsidRDefault="002D49CC" w:rsidP="008879C9">
      <w:pPr>
        <w:spacing w:line="276" w:lineRule="auto"/>
        <w:ind w:firstLine="1425"/>
        <w:jc w:val="both"/>
        <w:rPr>
          <w:sz w:val="22"/>
          <w:szCs w:val="22"/>
        </w:rPr>
      </w:pPr>
      <w:r w:rsidRPr="008879C9">
        <w:rPr>
          <w:sz w:val="22"/>
          <w:szCs w:val="22"/>
        </w:rPr>
        <w:t xml:space="preserve">O Projeto de Lei que ora colocamos a vossa apreciação, declara caracterizada como de excepcional interesse público, na </w:t>
      </w:r>
      <w:r w:rsidRPr="002D5806">
        <w:rPr>
          <w:sz w:val="22"/>
          <w:szCs w:val="22"/>
        </w:rPr>
        <w:t xml:space="preserve">forma preconizada no inciso IX do art. 37 da Constituição Federal, o provimento da demanda de </w:t>
      </w:r>
      <w:r w:rsidR="00C13B9E" w:rsidRPr="002D5806">
        <w:rPr>
          <w:sz w:val="22"/>
          <w:szCs w:val="22"/>
        </w:rPr>
        <w:t xml:space="preserve">08 Professores de </w:t>
      </w:r>
      <w:r w:rsidRPr="002D5806">
        <w:rPr>
          <w:color w:val="000000"/>
          <w:sz w:val="22"/>
          <w:szCs w:val="22"/>
        </w:rPr>
        <w:t>anos</w:t>
      </w:r>
      <w:r w:rsidRPr="002D5806">
        <w:rPr>
          <w:sz w:val="22"/>
          <w:szCs w:val="22"/>
        </w:rPr>
        <w:t xml:space="preserve"> iniciais</w:t>
      </w:r>
      <w:r w:rsidR="00C13B9E" w:rsidRPr="002D5806">
        <w:rPr>
          <w:sz w:val="22"/>
          <w:szCs w:val="22"/>
        </w:rPr>
        <w:t>, visando o preenchimento do quadro funcional para o início do ano letivo de 2026.</w:t>
      </w:r>
    </w:p>
    <w:p w:rsidR="00506AA3" w:rsidRPr="002D5806" w:rsidRDefault="00C13B9E" w:rsidP="008879C9">
      <w:pPr>
        <w:spacing w:line="276" w:lineRule="auto"/>
        <w:ind w:firstLine="1418"/>
        <w:jc w:val="both"/>
        <w:rPr>
          <w:sz w:val="22"/>
          <w:szCs w:val="22"/>
        </w:rPr>
      </w:pPr>
      <w:r w:rsidRPr="002D5806">
        <w:rPr>
          <w:sz w:val="22"/>
          <w:szCs w:val="22"/>
        </w:rPr>
        <w:t>Como embasamento</w:t>
      </w:r>
      <w:r w:rsidR="00506AA3" w:rsidRPr="002D5806">
        <w:rPr>
          <w:sz w:val="22"/>
          <w:szCs w:val="22"/>
        </w:rPr>
        <w:t>, utilizamos a Justificativa nº 04/2026-SMECDT encaminhad</w:t>
      </w:r>
      <w:r w:rsidRPr="002D5806">
        <w:rPr>
          <w:sz w:val="22"/>
          <w:szCs w:val="22"/>
        </w:rPr>
        <w:t>a</w:t>
      </w:r>
      <w:r w:rsidR="00506AA3" w:rsidRPr="002D5806">
        <w:rPr>
          <w:sz w:val="22"/>
          <w:szCs w:val="22"/>
        </w:rPr>
        <w:t xml:space="preserve"> pela Secretaria Municipal da Educação</w:t>
      </w:r>
      <w:r w:rsidRPr="002D5806">
        <w:rPr>
          <w:sz w:val="22"/>
          <w:szCs w:val="22"/>
        </w:rPr>
        <w:t>, Cultura, Desporto e Turismo, a</w:t>
      </w:r>
      <w:r w:rsidR="00506AA3" w:rsidRPr="002D5806">
        <w:rPr>
          <w:sz w:val="22"/>
          <w:szCs w:val="22"/>
        </w:rPr>
        <w:t xml:space="preserve"> qual foi transcrito na íntegra a seguir:</w:t>
      </w:r>
    </w:p>
    <w:p w:rsidR="008879C9" w:rsidRPr="002D5806" w:rsidRDefault="008879C9" w:rsidP="008879C9">
      <w:pPr>
        <w:ind w:firstLine="1418"/>
        <w:jc w:val="both"/>
        <w:rPr>
          <w:sz w:val="23"/>
          <w:szCs w:val="23"/>
        </w:rPr>
      </w:pPr>
    </w:p>
    <w:p w:rsidR="007E0B96" w:rsidRPr="002D5806" w:rsidRDefault="007E0B96" w:rsidP="008879C9">
      <w:pPr>
        <w:ind w:left="2127"/>
        <w:jc w:val="both"/>
        <w:rPr>
          <w:sz w:val="19"/>
          <w:szCs w:val="19"/>
          <w:lang w:eastAsia="pt-BR"/>
        </w:rPr>
      </w:pPr>
      <w:r w:rsidRPr="002D5806">
        <w:rPr>
          <w:sz w:val="19"/>
          <w:szCs w:val="19"/>
          <w:lang w:eastAsia="pt-BR"/>
        </w:rPr>
        <w:t>Considerando a necessidade de assegurar o pleno funcionamento das atividades pedagógicas nas escolas da rede municipal de ensino de Alpestre, especialmente no que se refere à cobertura de aulas decorrentes da hora atividade dos professores regentes e à oferta de aulas de reforço escolar aos estudantes dos anos iniciais;</w:t>
      </w:r>
    </w:p>
    <w:p w:rsidR="007E0B96" w:rsidRPr="008879C9" w:rsidRDefault="007E0B96" w:rsidP="008879C9">
      <w:pPr>
        <w:ind w:left="2127"/>
        <w:jc w:val="both"/>
        <w:rPr>
          <w:sz w:val="19"/>
          <w:szCs w:val="19"/>
          <w:lang w:eastAsia="pt-BR"/>
        </w:rPr>
      </w:pPr>
      <w:r w:rsidRPr="002D5806">
        <w:rPr>
          <w:sz w:val="19"/>
          <w:szCs w:val="19"/>
          <w:lang w:eastAsia="pt-BR"/>
        </w:rPr>
        <w:t>Considerando que a organização da hora atividade, conforme a legislação educacional vigente, exige a disponibilização de professores substitutos para garantir o cumprimento da carga horária dos alunos, sem</w:t>
      </w:r>
      <w:r w:rsidRPr="008879C9">
        <w:rPr>
          <w:sz w:val="19"/>
          <w:szCs w:val="19"/>
          <w:lang w:eastAsia="pt-BR"/>
        </w:rPr>
        <w:t xml:space="preserve"> prejuízo ao calendário escolar;</w:t>
      </w:r>
    </w:p>
    <w:p w:rsidR="007E0B96" w:rsidRPr="008879C9" w:rsidRDefault="007E0B96" w:rsidP="008879C9">
      <w:pPr>
        <w:ind w:left="2127"/>
        <w:jc w:val="both"/>
        <w:rPr>
          <w:sz w:val="19"/>
          <w:szCs w:val="19"/>
          <w:lang w:eastAsia="pt-BR"/>
        </w:rPr>
      </w:pPr>
      <w:r w:rsidRPr="008879C9">
        <w:rPr>
          <w:sz w:val="19"/>
          <w:szCs w:val="19"/>
          <w:lang w:eastAsia="pt-BR"/>
        </w:rPr>
        <w:t>Considerando, ainda, a importância das aulas de reforço como estratégia pedagógica para a recuperação da aprendizagem e a redução das defasagens educacionais;</w:t>
      </w:r>
    </w:p>
    <w:p w:rsidR="007E0B96" w:rsidRPr="008879C9" w:rsidRDefault="007E0B96" w:rsidP="008879C9">
      <w:pPr>
        <w:ind w:left="2127"/>
        <w:jc w:val="both"/>
        <w:rPr>
          <w:sz w:val="19"/>
          <w:szCs w:val="19"/>
          <w:lang w:eastAsia="pt-BR"/>
        </w:rPr>
      </w:pPr>
      <w:r w:rsidRPr="008879C9">
        <w:rPr>
          <w:sz w:val="19"/>
          <w:szCs w:val="19"/>
          <w:lang w:eastAsia="pt-BR"/>
        </w:rPr>
        <w:t>Considerando que a demanda por tais aulas não é permanente, mas variável, oscilando a cada ano letivo em função do número de turmas, das matrículas, da organização da jornada docente e das necessidades pedagógicas diagnosticadas nas escolas da rede municipal de Alpestre;</w:t>
      </w:r>
    </w:p>
    <w:p w:rsidR="007E0B96" w:rsidRPr="008879C9" w:rsidRDefault="007E0B96" w:rsidP="008879C9">
      <w:pPr>
        <w:ind w:left="2127"/>
        <w:jc w:val="both"/>
        <w:rPr>
          <w:sz w:val="19"/>
          <w:szCs w:val="19"/>
          <w:lang w:eastAsia="pt-BR"/>
        </w:rPr>
      </w:pPr>
      <w:r w:rsidRPr="008879C9">
        <w:rPr>
          <w:sz w:val="19"/>
          <w:szCs w:val="19"/>
          <w:lang w:eastAsia="pt-BR"/>
        </w:rPr>
        <w:t>Considerando que essa oscilação anual não caracteriza a existência de vagas permanentes e, portanto, não justifica a nomeação efetiva de servidores, sob pena de criação de excedentes no quadro funcional em períodos posteriores;</w:t>
      </w:r>
    </w:p>
    <w:p w:rsidR="007E0B96" w:rsidRPr="008879C9" w:rsidRDefault="007E0B96" w:rsidP="008879C9">
      <w:pPr>
        <w:ind w:left="2127"/>
        <w:jc w:val="both"/>
        <w:rPr>
          <w:sz w:val="19"/>
          <w:szCs w:val="19"/>
          <w:lang w:eastAsia="pt-BR"/>
        </w:rPr>
      </w:pPr>
      <w:r w:rsidRPr="008879C9">
        <w:rPr>
          <w:sz w:val="19"/>
          <w:szCs w:val="19"/>
          <w:lang w:eastAsia="pt-BR"/>
        </w:rPr>
        <w:t>Considerando que a situação configura necessidade temporária de excepcional interesse público, nos termos do artigo 37, inciso IX, da Constituição Federal;</w:t>
      </w:r>
    </w:p>
    <w:p w:rsidR="007E0B96" w:rsidRPr="008879C9" w:rsidRDefault="007E0B96" w:rsidP="008879C9">
      <w:pPr>
        <w:ind w:left="2127"/>
        <w:jc w:val="both"/>
        <w:rPr>
          <w:sz w:val="19"/>
          <w:szCs w:val="19"/>
          <w:lang w:eastAsia="pt-BR"/>
        </w:rPr>
      </w:pPr>
      <w:r w:rsidRPr="008879C9">
        <w:rPr>
          <w:sz w:val="19"/>
          <w:szCs w:val="19"/>
          <w:lang w:eastAsia="pt-BR"/>
        </w:rPr>
        <w:t>Considerando que o Município de Alpestre possui concurso público vigente para o cargo de Professor de Anos Iniciais, com banca examinadora regularmente constituída, resultado homologado e lista de classificação disponível;</w:t>
      </w:r>
    </w:p>
    <w:p w:rsidR="007E0B96" w:rsidRPr="008879C9" w:rsidRDefault="007E0B96" w:rsidP="008879C9">
      <w:pPr>
        <w:ind w:left="2127"/>
        <w:jc w:val="both"/>
        <w:rPr>
          <w:sz w:val="19"/>
          <w:szCs w:val="19"/>
          <w:lang w:eastAsia="pt-BR"/>
        </w:rPr>
      </w:pPr>
      <w:r w:rsidRPr="008879C9">
        <w:rPr>
          <w:sz w:val="19"/>
          <w:szCs w:val="19"/>
          <w:lang w:eastAsia="pt-BR"/>
        </w:rPr>
        <w:t>Justifica-se a contratação temporária de professor(a) classificado(a) no referido concurso, respeitando-se rigorosamente a ordem de classificação, para o exercício de carga horária de 22 (vinte e duas) horas semanais, como medida que assegura os princípios da legalidade, impessoalidade, moralidade, publicidade e eficiência, além de garantir transparência e isonomia no processo de escolha.</w:t>
      </w:r>
    </w:p>
    <w:p w:rsidR="007E0B96" w:rsidRPr="008879C9" w:rsidRDefault="007E0B96" w:rsidP="008879C9">
      <w:pPr>
        <w:ind w:left="2127"/>
        <w:jc w:val="both"/>
        <w:rPr>
          <w:sz w:val="19"/>
          <w:szCs w:val="19"/>
          <w:lang w:eastAsia="pt-BR"/>
        </w:rPr>
      </w:pPr>
      <w:r w:rsidRPr="008879C9">
        <w:rPr>
          <w:sz w:val="19"/>
          <w:szCs w:val="19"/>
          <w:lang w:eastAsia="pt-BR"/>
        </w:rPr>
        <w:t>Ressalta-se que a presente contratação de 04 (quatro) professores para hora atividade e 04 (quatro) professores para reforço Escolar, de caráter estritamente temporário e transitório, limitada ao período necessário para suprir as aulas decorrentes da hora-atividade e as demandas de reforço escolar nas escolas da rede municipal de Alpestre, não configurando, em hipótese alguma, provimento efetivo de cargo público, uma vez que tais vagas não são estáveis nem permanentes no quadro anual da rede municipal de ensino.</w:t>
      </w:r>
    </w:p>
    <w:p w:rsidR="007E0B96" w:rsidRPr="008879C9" w:rsidRDefault="007E0B96" w:rsidP="008879C9">
      <w:pPr>
        <w:ind w:left="2127"/>
        <w:jc w:val="both"/>
        <w:rPr>
          <w:sz w:val="19"/>
          <w:szCs w:val="19"/>
          <w:lang w:eastAsia="pt-BR"/>
        </w:rPr>
      </w:pPr>
      <w:r w:rsidRPr="008879C9">
        <w:rPr>
          <w:sz w:val="19"/>
          <w:szCs w:val="19"/>
          <w:lang w:eastAsia="pt-BR"/>
        </w:rPr>
        <w:t>Dessa forma, a utilização da classificação do concurso público vigente mostra-se como a solução mais adequada, célere e juridicamente segura para atender à demanda pedagógica temporária do Município de Alpestre.</w:t>
      </w:r>
    </w:p>
    <w:p w:rsidR="008879C9" w:rsidRDefault="002D49CC" w:rsidP="008879C9">
      <w:pPr>
        <w:pStyle w:val="Corpodetexto"/>
      </w:pPr>
      <w:r>
        <w:tab/>
      </w:r>
      <w:r>
        <w:tab/>
      </w:r>
    </w:p>
    <w:p w:rsidR="002D49CC" w:rsidRPr="008879C9" w:rsidRDefault="002D49CC" w:rsidP="008879C9">
      <w:pPr>
        <w:pStyle w:val="Corpodetexto"/>
        <w:ind w:firstLine="1418"/>
        <w:rPr>
          <w:sz w:val="23"/>
          <w:szCs w:val="23"/>
        </w:rPr>
      </w:pPr>
      <w:r w:rsidRPr="008879C9">
        <w:rPr>
          <w:sz w:val="23"/>
          <w:szCs w:val="23"/>
        </w:rPr>
        <w:t>Diante de sua importância, espera-se a aprovação unânime deste Projeto de Lei.</w:t>
      </w:r>
    </w:p>
    <w:p w:rsidR="002D49CC" w:rsidRPr="008879C9" w:rsidRDefault="002D49CC" w:rsidP="008879C9">
      <w:pPr>
        <w:jc w:val="both"/>
        <w:rPr>
          <w:sz w:val="22"/>
          <w:szCs w:val="22"/>
        </w:rPr>
      </w:pPr>
    </w:p>
    <w:p w:rsidR="002D49CC" w:rsidRPr="008879C9" w:rsidRDefault="002D49CC" w:rsidP="008879C9">
      <w:pPr>
        <w:jc w:val="both"/>
        <w:rPr>
          <w:sz w:val="22"/>
          <w:szCs w:val="22"/>
        </w:rPr>
      </w:pPr>
      <w:r w:rsidRPr="008879C9">
        <w:rPr>
          <w:sz w:val="22"/>
          <w:szCs w:val="22"/>
        </w:rPr>
        <w:tab/>
      </w:r>
      <w:r w:rsidRPr="008879C9">
        <w:rPr>
          <w:sz w:val="22"/>
          <w:szCs w:val="22"/>
        </w:rPr>
        <w:tab/>
        <w:t>Atenciosamente</w:t>
      </w:r>
      <w:r w:rsidR="00DD5684" w:rsidRPr="008879C9">
        <w:rPr>
          <w:sz w:val="22"/>
          <w:szCs w:val="22"/>
        </w:rPr>
        <w:t>,</w:t>
      </w:r>
    </w:p>
    <w:p w:rsidR="002D49CC" w:rsidRPr="008879C9" w:rsidRDefault="002D49CC" w:rsidP="008879C9">
      <w:pPr>
        <w:jc w:val="center"/>
        <w:rPr>
          <w:bCs/>
          <w:sz w:val="22"/>
          <w:szCs w:val="22"/>
        </w:rPr>
      </w:pPr>
    </w:p>
    <w:p w:rsidR="00DD5684" w:rsidRPr="008879C9" w:rsidRDefault="00DD5684" w:rsidP="008879C9">
      <w:pPr>
        <w:jc w:val="center"/>
        <w:rPr>
          <w:sz w:val="22"/>
          <w:szCs w:val="22"/>
        </w:rPr>
      </w:pPr>
      <w:r w:rsidRPr="008879C9">
        <w:rPr>
          <w:b/>
          <w:bCs/>
          <w:sz w:val="22"/>
          <w:szCs w:val="22"/>
        </w:rPr>
        <w:t>RUDIMAR ARGENTON</w:t>
      </w:r>
    </w:p>
    <w:p w:rsidR="002D49CC" w:rsidRPr="008879C9" w:rsidRDefault="002D49CC" w:rsidP="008879C9">
      <w:pPr>
        <w:jc w:val="center"/>
        <w:rPr>
          <w:sz w:val="22"/>
          <w:szCs w:val="22"/>
        </w:rPr>
      </w:pPr>
      <w:r w:rsidRPr="008879C9">
        <w:rPr>
          <w:bCs/>
          <w:sz w:val="22"/>
          <w:szCs w:val="22"/>
        </w:rPr>
        <w:t>Prefeito Municipal</w:t>
      </w:r>
    </w:p>
    <w:sectPr w:rsidR="002D49CC" w:rsidRPr="008879C9" w:rsidSect="008879C9">
      <w:pgSz w:w="11906" w:h="16838" w:code="9"/>
      <w:pgMar w:top="2127" w:right="1061" w:bottom="1276" w:left="1770" w:header="238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35A" w:rsidRDefault="0032035A">
      <w:r>
        <w:separator/>
      </w:r>
    </w:p>
  </w:endnote>
  <w:endnote w:type="continuationSeparator" w:id="0">
    <w:p w:rsidR="0032035A" w:rsidRDefault="00320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35A" w:rsidRDefault="0032035A">
      <w:r>
        <w:separator/>
      </w:r>
    </w:p>
  </w:footnote>
  <w:footnote w:type="continuationSeparator" w:id="0">
    <w:p w:rsidR="0032035A" w:rsidRDefault="00320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5BA"/>
    <w:rsid w:val="00034E2E"/>
    <w:rsid w:val="00041489"/>
    <w:rsid w:val="00086ED4"/>
    <w:rsid w:val="000B25D0"/>
    <w:rsid w:val="000B6292"/>
    <w:rsid w:val="001E4AEC"/>
    <w:rsid w:val="0025290F"/>
    <w:rsid w:val="002638AD"/>
    <w:rsid w:val="002D49CC"/>
    <w:rsid w:val="002D5806"/>
    <w:rsid w:val="002F71C3"/>
    <w:rsid w:val="00313CD0"/>
    <w:rsid w:val="00317092"/>
    <w:rsid w:val="0032035A"/>
    <w:rsid w:val="00322EAB"/>
    <w:rsid w:val="00436C9D"/>
    <w:rsid w:val="00506AA3"/>
    <w:rsid w:val="00533C62"/>
    <w:rsid w:val="00554019"/>
    <w:rsid w:val="00623C88"/>
    <w:rsid w:val="006C1AC3"/>
    <w:rsid w:val="006D67BD"/>
    <w:rsid w:val="007337DD"/>
    <w:rsid w:val="007D35BA"/>
    <w:rsid w:val="007E0B96"/>
    <w:rsid w:val="008879C9"/>
    <w:rsid w:val="00A2646A"/>
    <w:rsid w:val="00A566B1"/>
    <w:rsid w:val="00B00BA1"/>
    <w:rsid w:val="00BA21C0"/>
    <w:rsid w:val="00BA7AFD"/>
    <w:rsid w:val="00C13B9E"/>
    <w:rsid w:val="00C43EA2"/>
    <w:rsid w:val="00CE4E57"/>
    <w:rsid w:val="00CF1029"/>
    <w:rsid w:val="00CF2BFD"/>
    <w:rsid w:val="00DD5684"/>
    <w:rsid w:val="00DF5E2D"/>
    <w:rsid w:val="00E01B9B"/>
    <w:rsid w:val="00E05EB4"/>
    <w:rsid w:val="00EA2224"/>
    <w:rsid w:val="00FA20D3"/>
    <w:rsid w:val="00FA41C9"/>
    <w:rsid w:val="00FF0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E5DEAEC-802A-4F2F-ADA8-A9BBA2BC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6">
    <w:name w:val="Fonte parág. padrão6"/>
  </w:style>
  <w:style w:type="character" w:customStyle="1" w:styleId="Fontepargpadro5">
    <w:name w:val="Fonte parág. padrão5"/>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1">
    <w:name w:val="Fonte parág. padrão1"/>
  </w:style>
  <w:style w:type="character" w:customStyle="1" w:styleId="TextodebaloChar">
    <w:name w:val="Texto de balão Char"/>
    <w:rPr>
      <w:rFonts w:ascii="Segoe UI" w:hAnsi="Segoe UI" w:cs="Segoe UI"/>
      <w:sz w:val="18"/>
      <w:szCs w:val="18"/>
    </w:rPr>
  </w:style>
  <w:style w:type="paragraph" w:customStyle="1" w:styleId="Ttulo6">
    <w:name w:val="Título6"/>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jc w:val="both"/>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5">
    <w:name w:val="Título5"/>
    <w:basedOn w:val="Normal"/>
    <w:next w:val="Corpodetexto"/>
    <w:pPr>
      <w:keepNext/>
      <w:spacing w:before="240" w:after="120"/>
    </w:pPr>
    <w:rPr>
      <w:rFonts w:ascii="Liberation Sans" w:eastAsia="Microsoft YaHei" w:hAnsi="Liberation Sans" w:cs="Arial"/>
      <w:sz w:val="28"/>
      <w:szCs w:val="28"/>
    </w:rPr>
  </w:style>
  <w:style w:type="paragraph" w:customStyle="1" w:styleId="Ttulo4">
    <w:name w:val="Título4"/>
    <w:basedOn w:val="Normal"/>
    <w:next w:val="Corpodetexto"/>
    <w:pPr>
      <w:keepNext/>
      <w:spacing w:before="240" w:after="120"/>
    </w:pPr>
    <w:rPr>
      <w:rFonts w:ascii="Liberation Sans" w:eastAsia="Microsoft YaHei" w:hAnsi="Liberation Sans" w:cs="Arial"/>
      <w:sz w:val="28"/>
      <w:szCs w:val="28"/>
    </w:rPr>
  </w:style>
  <w:style w:type="paragraph" w:customStyle="1" w:styleId="Ttulo3">
    <w:name w:val="Título3"/>
    <w:basedOn w:val="Normal"/>
    <w:next w:val="Corpodetexto"/>
    <w:pPr>
      <w:keepNext/>
      <w:spacing w:before="240" w:after="120"/>
    </w:pPr>
    <w:rPr>
      <w:rFonts w:ascii="Liberation Sans" w:eastAsia="Microsoft YaHei" w:hAnsi="Liberation Sans" w:cs="Arial"/>
      <w:sz w:val="28"/>
      <w:szCs w:val="28"/>
    </w:rPr>
  </w:style>
  <w:style w:type="paragraph" w:customStyle="1" w:styleId="Ttulo2">
    <w:name w:val="Título2"/>
    <w:basedOn w:val="Normal"/>
    <w:next w:val="Corpodetexto"/>
    <w:pPr>
      <w:keepNext/>
      <w:spacing w:before="240" w:after="120"/>
    </w:pPr>
    <w:rPr>
      <w:rFonts w:ascii="Liberation Sans" w:eastAsia="Microsoft YaHei" w:hAnsi="Liberation Sans" w:cs="Arial"/>
      <w:sz w:val="28"/>
      <w:szCs w:val="28"/>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customStyle="1" w:styleId="Captulo">
    <w:name w:val="Capítulo"/>
    <w:basedOn w:val="Normal"/>
    <w:next w:val="Corpodetexto"/>
    <w:pPr>
      <w:keepNext/>
      <w:spacing w:before="240" w:after="120"/>
    </w:pPr>
    <w:rPr>
      <w:rFonts w:ascii="Arial" w:eastAsia="MS Gothic" w:hAnsi="Arial" w:cs="Tahoma"/>
      <w:sz w:val="28"/>
      <w:szCs w:val="28"/>
    </w:rPr>
  </w:style>
  <w:style w:type="paragraph" w:customStyle="1" w:styleId="TextosemFormatao1">
    <w:name w:val="Texto sem Formatação1"/>
    <w:basedOn w:val="Normal"/>
    <w:rPr>
      <w:rFonts w:ascii="Courier New" w:hAnsi="Courier New" w:cs="Courier New"/>
      <w:sz w:val="20"/>
      <w:szCs w:val="20"/>
    </w:rPr>
  </w:style>
  <w:style w:type="paragraph" w:styleId="NormalWeb">
    <w:name w:val="Normal (Web)"/>
    <w:basedOn w:val="Normal"/>
    <w:pPr>
      <w:spacing w:before="280" w:after="280"/>
    </w:pPr>
  </w:style>
  <w:style w:type="paragraph" w:styleId="Textodebalo">
    <w:name w:val="Balloon Text"/>
    <w:basedOn w:val="Normal"/>
    <w:rPr>
      <w:rFonts w:ascii="Segoe UI" w:hAnsi="Segoe UI" w:cs="Segoe UI"/>
      <w:sz w:val="18"/>
      <w:szCs w:val="18"/>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suppressLineNumbers/>
      <w:tabs>
        <w:tab w:val="center" w:pos="4567"/>
        <w:tab w:val="right" w:pos="9135"/>
      </w:tabs>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table" w:styleId="Tabelacomgrade">
    <w:name w:val="Table Grid"/>
    <w:basedOn w:val="Tabelanormal"/>
    <w:uiPriority w:val="39"/>
    <w:rsid w:val="007D35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link w:val="RodapChar"/>
    <w:uiPriority w:val="99"/>
    <w:unhideWhenUsed/>
    <w:rsid w:val="008879C9"/>
    <w:pPr>
      <w:tabs>
        <w:tab w:val="center" w:pos="4252"/>
        <w:tab w:val="right" w:pos="8504"/>
      </w:tabs>
    </w:pPr>
  </w:style>
  <w:style w:type="character" w:customStyle="1" w:styleId="RodapChar">
    <w:name w:val="Rodapé Char"/>
    <w:basedOn w:val="Fontepargpadro"/>
    <w:link w:val="Rodap"/>
    <w:uiPriority w:val="99"/>
    <w:rsid w:val="008879C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1141</Words>
  <Characters>6167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PROJETO DE LEI Nº 036/09, de 27 de maio de 2009</vt:lpstr>
    </vt:vector>
  </TitlesOfParts>
  <Company/>
  <LinksUpToDate>false</LinksUpToDate>
  <CharactersWithSpaces>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036/09, de 27 de maio de 2009</dc:title>
  <dc:subject/>
  <dc:creator>xxxxx</dc:creator>
  <cp:keywords/>
  <cp:lastModifiedBy>ADM 01</cp:lastModifiedBy>
  <cp:revision>14</cp:revision>
  <cp:lastPrinted>2025-01-06T19:00:00Z</cp:lastPrinted>
  <dcterms:created xsi:type="dcterms:W3CDTF">2025-01-17T12:00:00Z</dcterms:created>
  <dcterms:modified xsi:type="dcterms:W3CDTF">2026-01-26T16:16:00Z</dcterms:modified>
</cp:coreProperties>
</file>